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bookmarkStart w:id="0" w:name="_GoBack"/>
      <w:bookmarkEnd w:id="0"/>
      <w:r>
        <w:rPr>
          <w:rFonts w:hint="eastAsia" w:ascii="方正小标宋简体" w:hAnsi="方正小标宋简体" w:eastAsia="方正小标宋简体" w:cs="方正小标宋简体"/>
          <w:sz w:val="44"/>
          <w:szCs w:val="44"/>
          <w:lang w:val="en-US" w:eastAsia="zh-CN"/>
        </w:rPr>
        <w:t>林芝市科学技术局2021年政府信息公开</w:t>
      </w:r>
    </w:p>
    <w:p>
      <w:pPr>
        <w:keepNext w:val="0"/>
        <w:keepLines w:val="0"/>
        <w:pageBreakBefore w:val="0"/>
        <w:widowControl w:val="0"/>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工作年度报告</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576" w:lineRule="exact"/>
        <w:ind w:left="0" w:leftChars="0" w:right="0" w:firstLine="0" w:firstLine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0" w:after="0" w:line="576" w:lineRule="exact"/>
        <w:ind w:left="0" w:leftChars="0" w:right="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根据《中华人民共和国政府信息公开条例》(国务院令第711号，以下简称《条例》)以及《国务院办公厅政府信息与政务公开办公室关于印发&lt;中华人民共和国政府信息公开工作年度报告格式&gt;的通知》（国办公开办函〔2021〕30号）要求，现公布林芝市</w:t>
      </w:r>
      <w:r>
        <w:rPr>
          <w:rFonts w:hint="default" w:ascii="仿宋_GB2312" w:hAnsi="仿宋_GB2312" w:eastAsia="仿宋_GB2312" w:cs="仿宋_GB2312"/>
          <w:sz w:val="32"/>
          <w:szCs w:val="32"/>
          <w:lang w:val="en" w:eastAsia="zh-CN"/>
        </w:rPr>
        <w:t>科学技术局</w:t>
      </w:r>
      <w:r>
        <w:rPr>
          <w:rFonts w:hint="eastAsia" w:ascii="仿宋_GB2312" w:hAnsi="仿宋_GB2312" w:eastAsia="仿宋_GB2312" w:cs="仿宋_GB2312"/>
          <w:sz w:val="32"/>
          <w:szCs w:val="32"/>
          <w:lang w:val="en-US" w:eastAsia="zh-CN"/>
        </w:rPr>
        <w:t>2021年政府信息公开工作年度报告。</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576" w:lineRule="exact"/>
        <w:ind w:left="0" w:leftChars="0" w:right="0" w:firstLine="640" w:firstLineChars="0"/>
        <w:jc w:val="both"/>
        <w:textAlignment w:val="auto"/>
        <w:outlineLvl w:val="9"/>
        <w:rPr>
          <w:rFonts w:hint="eastAsia" w:ascii="仿宋_GB2312" w:hAnsi="仿宋_GB2312" w:eastAsia="仿宋_GB2312" w:cs="仿宋_GB2312"/>
          <w:i w:val="0"/>
          <w:caps w:val="0"/>
          <w:color w:val="auto"/>
          <w:spacing w:val="0"/>
          <w:kern w:val="0"/>
          <w:sz w:val="32"/>
          <w:szCs w:val="32"/>
          <w:lang w:val="en-US" w:eastAsia="zh-CN" w:bidi="ar"/>
        </w:rPr>
      </w:pPr>
      <w:r>
        <w:rPr>
          <w:rFonts w:hint="eastAsia" w:ascii="仿宋_GB2312" w:hAnsi="仿宋_GB2312" w:eastAsia="仿宋_GB2312" w:cs="仿宋_GB2312"/>
          <w:sz w:val="32"/>
          <w:szCs w:val="32"/>
          <w:lang w:val="en-US" w:eastAsia="zh-CN"/>
        </w:rPr>
        <w:t>本报告包括总体情况、主动公开政府信息情况、收到和处理政府信息公开申请情况、政府信息公开行政复议和行政诉讼情况、存在的主要问题及改进情况、其他需要报告的事项等六个部分。除特别说明外，所列数据统计时限为2021年1月1日至2021年12月31日。报告电子版可在林芝市</w:t>
      </w:r>
      <w:r>
        <w:rPr>
          <w:rFonts w:hint="default" w:ascii="仿宋_GB2312" w:hAnsi="仿宋_GB2312" w:eastAsia="仿宋_GB2312" w:cs="仿宋_GB2312"/>
          <w:sz w:val="32"/>
          <w:szCs w:val="32"/>
          <w:lang w:val="en" w:eastAsia="zh-CN"/>
        </w:rPr>
        <w:t>科学技术局</w:t>
      </w:r>
      <w:r>
        <w:rPr>
          <w:rFonts w:hint="eastAsia" w:ascii="仿宋_GB2312" w:hAnsi="仿宋_GB2312" w:eastAsia="仿宋_GB2312" w:cs="仿宋_GB2312"/>
          <w:sz w:val="32"/>
          <w:szCs w:val="32"/>
          <w:lang w:val="en-US" w:eastAsia="zh-CN"/>
        </w:rPr>
        <w:t>网下载(http://www.</w:t>
      </w:r>
      <w:r>
        <w:rPr>
          <w:rFonts w:hint="default" w:ascii="仿宋_GB2312" w:hAnsi="仿宋_GB2312" w:eastAsia="仿宋_GB2312" w:cs="仿宋_GB2312"/>
          <w:sz w:val="32"/>
          <w:szCs w:val="32"/>
          <w:lang w:val="en" w:eastAsia="zh-CN"/>
        </w:rPr>
        <w:t>kjj</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 w:eastAsia="zh-CN"/>
        </w:rPr>
        <w:t>linzhi.</w:t>
      </w:r>
      <w:r>
        <w:rPr>
          <w:rFonts w:hint="eastAsia" w:ascii="仿宋_GB2312" w:hAnsi="仿宋_GB2312" w:eastAsia="仿宋_GB2312" w:cs="仿宋_GB2312"/>
          <w:sz w:val="32"/>
          <w:szCs w:val="32"/>
          <w:lang w:val="en-US" w:eastAsia="zh-CN"/>
        </w:rPr>
        <w:t>gov.cn)。</w:t>
      </w:r>
      <w:r>
        <w:rPr>
          <w:rFonts w:hint="eastAsia" w:ascii="仿宋_GB2312" w:hAnsi="仿宋_GB2312" w:eastAsia="仿宋_GB2312" w:cs="仿宋_GB2312"/>
          <w:i w:val="0"/>
          <w:caps w:val="0"/>
          <w:color w:val="auto"/>
          <w:spacing w:val="0"/>
          <w:kern w:val="0"/>
          <w:sz w:val="32"/>
          <w:szCs w:val="32"/>
          <w:lang w:val="en-US" w:eastAsia="zh-CN" w:bidi="ar"/>
        </w:rPr>
        <w:t>公众如需进一步咨询了解相关信息，请与市科技局办公室联系。（联系地址：林芝市巴宜区科技路林芝市科技局办公室；邮编：860600；联系电话兼传真：0894-5824960）。</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576" w:lineRule="exact"/>
        <w:ind w:left="0" w:leftChars="0" w:right="0" w:firstLine="640" w:firstLine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一、总体情况</w:t>
      </w:r>
    </w:p>
    <w:p>
      <w:pPr>
        <w:keepNext w:val="0"/>
        <w:keepLines w:val="0"/>
        <w:pageBreakBefore w:val="0"/>
        <w:widowControl w:val="0"/>
        <w:numPr>
          <w:ilvl w:val="0"/>
          <w:numId w:val="0"/>
        </w:numPr>
        <w:kinsoku/>
        <w:wordWrap/>
        <w:overflowPunct/>
        <w:topLinePunct w:val="0"/>
        <w:autoSpaceDE/>
        <w:bidi w:val="0"/>
        <w:adjustRightInd/>
        <w:snapToGrid/>
        <w:spacing w:before="0" w:after="0" w:line="576"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auto"/>
          <w:spacing w:val="0"/>
          <w:kern w:val="0"/>
          <w:sz w:val="32"/>
          <w:szCs w:val="32"/>
          <w:lang w:val="en-US" w:eastAsia="zh-CN" w:bidi="ar"/>
        </w:rPr>
      </w:pPr>
      <w:r>
        <w:rPr>
          <w:rFonts w:hint="eastAsia" w:ascii="仿宋_GB2312" w:hAnsi="仿宋_GB2312" w:eastAsia="仿宋_GB2312" w:cs="仿宋_GB2312"/>
          <w:i w:val="0"/>
          <w:caps w:val="0"/>
          <w:color w:val="auto"/>
          <w:spacing w:val="0"/>
          <w:kern w:val="0"/>
          <w:sz w:val="32"/>
          <w:szCs w:val="32"/>
          <w:lang w:val="en-US" w:eastAsia="zh-CN" w:bidi="ar"/>
        </w:rPr>
        <w:t>2021年，林芝市科技局认真落实《中华人民共和国政府信息公开条例》各项规定及中央国务院、自治区党委政府、市委市政府全面推进政务公开工作部署，健全组织机构，完善工作机制，落实工作责任，扎实推进政务公开工作，不断提升群众满意度和获得感。</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576" w:lineRule="exact"/>
        <w:ind w:left="0" w:leftChars="0" w:right="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主动公开情况。按照《政府信息公开目录》，及时向社会发布全市在科技管理工作中有关行政决策、执行、管理、服务、结果等信息。2021年发布《林芝市科技局2020年度部门决算信息公开》、《林芝市科技局2021年度部门预算信息公开》等财务信息</w:t>
      </w:r>
      <w:r>
        <w:rPr>
          <w:rFonts w:hint="eastAsia" w:ascii="仿宋_GB2312" w:hAnsi="仿宋_GB2312" w:eastAsia="仿宋_GB2312" w:cs="仿宋_GB2312"/>
          <w:sz w:val="32"/>
          <w:szCs w:val="32"/>
          <w:u w:val="single"/>
          <w:lang w:val="en-US" w:eastAsia="zh-CN"/>
        </w:rPr>
        <w:t>2</w:t>
      </w:r>
      <w:r>
        <w:rPr>
          <w:rFonts w:hint="eastAsia" w:ascii="仿宋_GB2312" w:hAnsi="仿宋_GB2312" w:eastAsia="仿宋_GB2312" w:cs="仿宋_GB2312"/>
          <w:sz w:val="32"/>
          <w:szCs w:val="32"/>
          <w:lang w:val="en-US" w:eastAsia="zh-CN"/>
        </w:rPr>
        <w:t>条；结合机构职能,发</w:t>
      </w:r>
      <w:r>
        <w:rPr>
          <w:rFonts w:hint="eastAsia" w:ascii="仿宋_GB2312" w:hAnsi="仿宋_GB2312" w:eastAsia="仿宋_GB2312" w:cs="仿宋_GB2312"/>
          <w:sz w:val="32"/>
          <w:szCs w:val="32"/>
          <w:u w:val="none"/>
          <w:lang w:val="en-US" w:eastAsia="zh-CN"/>
        </w:rPr>
        <w:t>布《林芝市科学技术局政务公开事项目录》《林芝市科学技术局政务服务事项清单》等应主动公开的信息，</w:t>
      </w:r>
      <w:r>
        <w:rPr>
          <w:rFonts w:hint="eastAsia" w:ascii="仿宋_GB2312" w:hAnsi="仿宋_GB2312" w:eastAsia="仿宋_GB2312" w:cs="仿宋_GB2312"/>
          <w:sz w:val="32"/>
          <w:szCs w:val="32"/>
          <w:lang w:val="en-US" w:eastAsia="zh-CN"/>
        </w:rPr>
        <w:t>及时对目录、清单内容进行更新，确保不出现错误；二是科技局门户网站。2021年，市科技局门户网站共发布科技系统工作动态信息65条，通知公告、政策法规、政务公开等各类信息</w:t>
      </w:r>
      <w:r>
        <w:rPr>
          <w:rFonts w:hint="eastAsia" w:ascii="仿宋_GB2312" w:hAnsi="仿宋_GB2312" w:eastAsia="仿宋_GB2312" w:cs="仿宋_GB2312"/>
          <w:sz w:val="32"/>
          <w:szCs w:val="32"/>
          <w:u w:val="none"/>
          <w:lang w:val="en-US" w:eastAsia="zh-CN"/>
        </w:rPr>
        <w:t>20</w:t>
      </w:r>
      <w:r>
        <w:rPr>
          <w:rFonts w:hint="eastAsia" w:ascii="仿宋_GB2312" w:hAnsi="仿宋_GB2312" w:eastAsia="仿宋_GB2312" w:cs="仿宋_GB2312"/>
          <w:sz w:val="32"/>
          <w:szCs w:val="32"/>
          <w:lang w:val="en-US" w:eastAsia="zh-CN"/>
        </w:rPr>
        <w:t>余条，很好地展示了全市科技工作开展情况，提高了科技管理工作效能，进一步促进科技工作公开、透明，同时，在科技局门户网站公开了我部门关于疫情防控的</w:t>
      </w:r>
      <w:r>
        <w:rPr>
          <w:rFonts w:hint="eastAsia" w:ascii="仿宋_GB2312" w:hAnsi="仿宋_GB2312" w:eastAsia="仿宋_GB2312" w:cs="仿宋_GB2312"/>
          <w:sz w:val="32"/>
          <w:szCs w:val="32"/>
          <w:u w:val="none"/>
          <w:lang w:val="en-US" w:eastAsia="zh-CN"/>
        </w:rPr>
        <w:t>10</w:t>
      </w:r>
      <w:r>
        <w:rPr>
          <w:rFonts w:hint="eastAsia" w:ascii="仿宋_GB2312" w:hAnsi="仿宋_GB2312" w:eastAsia="仿宋_GB2312" w:cs="仿宋_GB2312"/>
          <w:sz w:val="32"/>
          <w:szCs w:val="32"/>
          <w:lang w:val="en-US" w:eastAsia="zh-CN"/>
        </w:rPr>
        <w:t>余条相关信息，积极回应社会关切。通过视频、图片等多种方式加大疫情防控宣传。</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576" w:lineRule="exact"/>
        <w:ind w:left="0" w:leftChars="0" w:right="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（二）依申请公开情况。</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576" w:lineRule="exact"/>
        <w:ind w:left="0" w:leftChars="0" w:right="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依托科技局门户网站推进网上依申请公开，在网站开设“信息公开--依申请公开”专栏，公众可以通过网上提交电子版依申请公开申请表。截止目前，我单位无依申请公开申请，没有发生相关行政复议、诉讼。</w:t>
      </w:r>
    </w:p>
    <w:p>
      <w:pPr>
        <w:keepNext w:val="0"/>
        <w:keepLines w:val="0"/>
        <w:pageBreakBefore w:val="0"/>
        <w:widowControl w:val="0"/>
        <w:numPr>
          <w:ilvl w:val="0"/>
          <w:numId w:val="1"/>
        </w:numPr>
        <w:kinsoku/>
        <w:wordWrap/>
        <w:overflowPunct/>
        <w:topLinePunct w:val="0"/>
        <w:autoSpaceDE/>
        <w:autoSpaceDN/>
        <w:bidi w:val="0"/>
        <w:adjustRightInd/>
        <w:snapToGrid/>
        <w:spacing w:before="0" w:after="0" w:line="576" w:lineRule="exact"/>
        <w:ind w:left="0" w:leftChars="0" w:right="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政府信息管理情况。</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576" w:lineRule="exac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严格执行《政府信息公开保密审查表》制度，对在局机关网站的信息要经过责任人、科室负责人、主管局领导/主要负责人四级审核后方可刊载，确保不出现错别字、链接错误等问题。坚持把落实政务公开工作纳入重要议事日程，为确保全局政务公开工作顺利开展，根据局领导干部调整情况及时调整充实局政府信息公开工作领导小组，确保政务信息公开工作有人抓，有专人负责。</w:t>
      </w:r>
    </w:p>
    <w:p>
      <w:pPr>
        <w:keepNext w:val="0"/>
        <w:keepLines w:val="0"/>
        <w:pageBreakBefore w:val="0"/>
        <w:widowControl w:val="0"/>
        <w:numPr>
          <w:ilvl w:val="0"/>
          <w:numId w:val="1"/>
        </w:numPr>
        <w:kinsoku/>
        <w:wordWrap/>
        <w:overflowPunct/>
        <w:topLinePunct w:val="0"/>
        <w:autoSpaceDE/>
        <w:autoSpaceDN/>
        <w:bidi w:val="0"/>
        <w:adjustRightInd/>
        <w:snapToGrid/>
        <w:spacing w:before="0" w:after="0" w:line="576" w:lineRule="exact"/>
        <w:ind w:left="0" w:leftChars="0" w:right="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政府信息公开平台建设情况。</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576" w:lineRule="exact"/>
        <w:ind w:right="0" w:rightChars="0" w:firstLine="640" w:firstLineChars="200"/>
        <w:jc w:val="both"/>
        <w:textAlignment w:val="auto"/>
        <w:outlineLvl w:val="9"/>
        <w:rPr>
          <w:rFonts w:hint="default" w:ascii="仿宋_GB2312" w:hAnsi="仿宋_GB2312" w:eastAsia="仿宋_GB2312" w:cs="仿宋_GB2312"/>
          <w:sz w:val="32"/>
          <w:szCs w:val="32"/>
          <w:lang w:val="en" w:eastAsia="zh-CN"/>
        </w:rPr>
      </w:pPr>
      <w:r>
        <w:rPr>
          <w:rFonts w:hint="eastAsia" w:ascii="仿宋_GB2312" w:hAnsi="仿宋_GB2312" w:eastAsia="仿宋_GB2312" w:cs="仿宋_GB2312"/>
          <w:sz w:val="32"/>
          <w:szCs w:val="32"/>
          <w:lang w:val="en" w:eastAsia="zh-CN"/>
        </w:rPr>
        <w:t>目前，我局</w:t>
      </w:r>
      <w:r>
        <w:rPr>
          <w:rFonts w:hint="eastAsia" w:ascii="仿宋_GB2312" w:hAnsi="仿宋_GB2312" w:eastAsia="仿宋_GB2312" w:cs="仿宋_GB2312"/>
          <w:sz w:val="32"/>
          <w:szCs w:val="32"/>
          <w:lang w:val="en-US" w:eastAsia="zh-CN"/>
        </w:rPr>
        <w:t>政府信息公开平台</w:t>
      </w:r>
      <w:r>
        <w:rPr>
          <w:rFonts w:hint="eastAsia" w:ascii="仿宋_GB2312" w:hAnsi="仿宋_GB2312" w:eastAsia="仿宋_GB2312" w:cs="仿宋_GB2312"/>
          <w:sz w:val="32"/>
          <w:szCs w:val="32"/>
          <w:lang w:val="en" w:eastAsia="zh-CN"/>
        </w:rPr>
        <w:t>主要为政府网站。日常工作中，安排专人对网站平台进行维护，经常性公开相关信息，确保网站发挥第一主渠道作用。</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576" w:lineRule="exact"/>
        <w:ind w:left="0" w:leftChars="0" w:right="0"/>
        <w:jc w:val="both"/>
        <w:textAlignment w:val="auto"/>
        <w:outlineLvl w:val="9"/>
        <w:rPr>
          <w:rFonts w:hint="eastAsia" w:ascii="黑体" w:hAnsi="黑体" w:eastAsia="黑体" w:cs="黑体"/>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二、主动公开政府信息情况</w:t>
      </w:r>
    </w:p>
    <w:tbl>
      <w:tblPr>
        <w:tblStyle w:val="4"/>
        <w:tblW w:w="88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383"/>
        <w:gridCol w:w="1870"/>
        <w:gridCol w:w="1629"/>
        <w:gridCol w:w="197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8860" w:type="dxa"/>
            <w:gridSpan w:val="4"/>
            <w:tcBorders>
              <w:top w:val="single" w:color="auto" w:sz="4" w:space="0"/>
              <w:left w:val="single" w:color="auto" w:sz="4" w:space="0"/>
              <w:bottom w:val="single" w:color="auto" w:sz="4" w:space="0"/>
              <w:right w:val="single" w:color="auto" w:sz="4" w:space="0"/>
            </w:tcBorders>
            <w:shd w:val="clear" w:color="auto" w:fill="C6D9F1"/>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第二十条第（一）项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3" w:hRule="atLeast"/>
          <w:jc w:val="center"/>
        </w:trPr>
        <w:tc>
          <w:tcPr>
            <w:tcW w:w="3383" w:type="dxa"/>
            <w:tcBorders>
              <w:top w:val="nil"/>
              <w:left w:val="single" w:color="auto" w:sz="4" w:space="0"/>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信息内容</w:t>
            </w:r>
          </w:p>
        </w:tc>
        <w:tc>
          <w:tcPr>
            <w:tcW w:w="1870" w:type="dxa"/>
            <w:tcBorders>
              <w:top w:val="single" w:color="auto" w:sz="4" w:space="0"/>
              <w:left w:val="nil"/>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本年制</w:t>
            </w:r>
            <w:r>
              <w:rPr>
                <w:rFonts w:hint="eastAsia" w:ascii="宋体" w:hAnsi="宋体" w:cs="宋体"/>
                <w:color w:val="auto"/>
                <w:kern w:val="0"/>
                <w:sz w:val="20"/>
                <w:szCs w:val="20"/>
                <w:lang w:eastAsia="zh-CN"/>
              </w:rPr>
              <w:t>发件数</w:t>
            </w:r>
          </w:p>
        </w:tc>
        <w:tc>
          <w:tcPr>
            <w:tcW w:w="1629" w:type="dxa"/>
            <w:tcBorders>
              <w:top w:val="single" w:color="auto" w:sz="4" w:space="0"/>
              <w:left w:val="nil"/>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本年</w:t>
            </w:r>
            <w:r>
              <w:rPr>
                <w:rFonts w:hint="eastAsia" w:ascii="宋体" w:hAnsi="宋体" w:cs="宋体"/>
                <w:color w:val="auto"/>
                <w:kern w:val="0"/>
                <w:sz w:val="20"/>
                <w:szCs w:val="20"/>
                <w:lang w:eastAsia="zh-CN"/>
              </w:rPr>
              <w:t>废止件数</w:t>
            </w:r>
          </w:p>
        </w:tc>
        <w:tc>
          <w:tcPr>
            <w:tcW w:w="1978" w:type="dxa"/>
            <w:tcBorders>
              <w:top w:val="nil"/>
              <w:left w:val="nil"/>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eastAsia="zh-CN"/>
              </w:rPr>
              <w:t>现行有效件数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3383" w:type="dxa"/>
            <w:tcBorders>
              <w:top w:val="nil"/>
              <w:left w:val="single" w:color="auto" w:sz="4" w:space="0"/>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规章</w:t>
            </w:r>
          </w:p>
        </w:tc>
        <w:tc>
          <w:tcPr>
            <w:tcW w:w="1870" w:type="dxa"/>
            <w:tcBorders>
              <w:top w:val="single" w:color="auto" w:sz="4" w:space="0"/>
              <w:left w:val="nil"/>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仿宋_GB2312" w:hAnsi="仿宋_GB2312" w:eastAsia="仿宋_GB2312" w:cs="仿宋_GB2312"/>
                <w:b w:val="0"/>
                <w:bCs w:val="0"/>
                <w:color w:val="auto"/>
                <w:kern w:val="0"/>
                <w:sz w:val="20"/>
                <w:szCs w:val="20"/>
                <w:lang w:val="en-US" w:eastAsia="zh-CN"/>
              </w:rPr>
            </w:pPr>
            <w:r>
              <w:rPr>
                <w:rFonts w:hint="eastAsia" w:ascii="仿宋_GB2312" w:hAnsi="仿宋_GB2312" w:eastAsia="仿宋_GB2312" w:cs="仿宋_GB2312"/>
                <w:b w:val="0"/>
                <w:bCs w:val="0"/>
                <w:color w:val="auto"/>
                <w:kern w:val="0"/>
                <w:sz w:val="20"/>
                <w:szCs w:val="20"/>
                <w:lang w:val="en-US" w:eastAsia="zh-CN"/>
              </w:rPr>
              <w:t>0</w:t>
            </w:r>
          </w:p>
        </w:tc>
        <w:tc>
          <w:tcPr>
            <w:tcW w:w="1629" w:type="dxa"/>
            <w:tcBorders>
              <w:top w:val="single" w:color="auto" w:sz="4" w:space="0"/>
              <w:left w:val="nil"/>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仿宋_GB2312" w:hAnsi="仿宋_GB2312" w:eastAsia="仿宋_GB2312" w:cs="仿宋_GB2312"/>
                <w:b w:val="0"/>
                <w:bCs w:val="0"/>
                <w:color w:val="auto"/>
                <w:kern w:val="0"/>
                <w:sz w:val="20"/>
                <w:szCs w:val="20"/>
                <w:lang w:val="en-US" w:eastAsia="zh-CN"/>
              </w:rPr>
            </w:pPr>
            <w:r>
              <w:rPr>
                <w:rFonts w:hint="eastAsia" w:ascii="仿宋_GB2312" w:hAnsi="仿宋_GB2312" w:eastAsia="仿宋_GB2312" w:cs="仿宋_GB2312"/>
                <w:b w:val="0"/>
                <w:bCs w:val="0"/>
                <w:color w:val="auto"/>
                <w:kern w:val="0"/>
                <w:sz w:val="20"/>
                <w:szCs w:val="20"/>
                <w:lang w:val="en-US" w:eastAsia="zh-CN"/>
              </w:rPr>
              <w:t>0</w:t>
            </w:r>
          </w:p>
        </w:tc>
        <w:tc>
          <w:tcPr>
            <w:tcW w:w="1978" w:type="dxa"/>
            <w:tcBorders>
              <w:top w:val="nil"/>
              <w:left w:val="nil"/>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仿宋_GB2312" w:hAnsi="仿宋_GB2312" w:eastAsia="仿宋_GB2312" w:cs="仿宋_GB2312"/>
                <w:b w:val="0"/>
                <w:bCs w:val="0"/>
                <w:color w:val="auto"/>
                <w:kern w:val="0"/>
                <w:sz w:val="20"/>
                <w:szCs w:val="20"/>
                <w:lang w:val="en-US" w:eastAsia="zh-CN"/>
              </w:rPr>
            </w:pPr>
            <w:r>
              <w:rPr>
                <w:rFonts w:hint="eastAsia" w:ascii="仿宋_GB2312" w:hAnsi="仿宋_GB2312" w:eastAsia="仿宋_GB2312" w:cs="仿宋_GB2312"/>
                <w:b w:val="0"/>
                <w:bCs w:val="0"/>
                <w:color w:val="auto"/>
                <w:kern w:val="0"/>
                <w:sz w:val="20"/>
                <w:szCs w:val="20"/>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3383" w:type="dxa"/>
            <w:tcBorders>
              <w:top w:val="nil"/>
              <w:left w:val="single" w:color="auto" w:sz="4" w:space="0"/>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rPr>
            </w:pPr>
            <w:r>
              <w:rPr>
                <w:rFonts w:hint="eastAsia" w:ascii="宋体" w:hAnsi="宋体" w:cs="宋体"/>
                <w:color w:val="auto"/>
                <w:kern w:val="0"/>
                <w:sz w:val="20"/>
                <w:szCs w:val="20"/>
                <w:lang w:eastAsia="zh-CN"/>
              </w:rPr>
              <w:t>行政</w:t>
            </w:r>
            <w:r>
              <w:rPr>
                <w:rFonts w:hint="eastAsia" w:ascii="宋体" w:hAnsi="宋体" w:eastAsia="宋体" w:cs="宋体"/>
                <w:color w:val="auto"/>
                <w:kern w:val="0"/>
                <w:sz w:val="20"/>
                <w:szCs w:val="20"/>
              </w:rPr>
              <w:t>规范性文件</w:t>
            </w:r>
          </w:p>
        </w:tc>
        <w:tc>
          <w:tcPr>
            <w:tcW w:w="1870" w:type="dxa"/>
            <w:tcBorders>
              <w:top w:val="nil"/>
              <w:left w:val="nil"/>
              <w:bottom w:val="single" w:color="auto" w:sz="4" w:space="0"/>
              <w:right w:val="single" w:color="auto" w:sz="4" w:space="0"/>
            </w:tcBorders>
            <w:vAlign w:val="center"/>
          </w:tcPr>
          <w:p>
            <w:pPr>
              <w:autoSpaceDN w:val="0"/>
              <w:jc w:val="center"/>
              <w:textAlignment w:val="center"/>
              <w:rPr>
                <w:rFonts w:hint="eastAsia" w:ascii="仿宋_GB2312" w:hAnsi="仿宋_GB2312" w:eastAsia="仿宋_GB2312" w:cs="仿宋_GB2312"/>
                <w:b w:val="0"/>
                <w:bCs w:val="0"/>
                <w:color w:val="auto"/>
                <w:kern w:val="0"/>
                <w:sz w:val="20"/>
                <w:szCs w:val="20"/>
                <w:lang w:val="en-US" w:eastAsia="zh-CN"/>
              </w:rPr>
            </w:pPr>
            <w:r>
              <w:rPr>
                <w:rFonts w:hint="eastAsia" w:ascii="仿宋_GB2312" w:hAnsi="仿宋_GB2312" w:eastAsia="仿宋_GB2312" w:cs="仿宋_GB2312"/>
                <w:b w:val="0"/>
                <w:bCs w:val="0"/>
                <w:color w:val="auto"/>
                <w:kern w:val="0"/>
                <w:sz w:val="20"/>
                <w:szCs w:val="20"/>
                <w:lang w:val="en-US" w:eastAsia="zh-CN"/>
              </w:rPr>
              <w:t>0</w:t>
            </w:r>
          </w:p>
        </w:tc>
        <w:tc>
          <w:tcPr>
            <w:tcW w:w="1629" w:type="dxa"/>
            <w:tcBorders>
              <w:top w:val="nil"/>
              <w:left w:val="nil"/>
              <w:bottom w:val="single" w:color="auto" w:sz="4" w:space="0"/>
              <w:right w:val="single" w:color="auto" w:sz="4" w:space="0"/>
            </w:tcBorders>
            <w:vAlign w:val="center"/>
          </w:tcPr>
          <w:p>
            <w:pPr>
              <w:autoSpaceDN w:val="0"/>
              <w:jc w:val="center"/>
              <w:textAlignment w:val="center"/>
              <w:rPr>
                <w:rFonts w:hint="eastAsia" w:ascii="仿宋_GB2312" w:hAnsi="仿宋_GB2312" w:eastAsia="仿宋_GB2312" w:cs="仿宋_GB2312"/>
                <w:b w:val="0"/>
                <w:bCs w:val="0"/>
                <w:color w:val="auto"/>
                <w:kern w:val="0"/>
                <w:sz w:val="20"/>
                <w:szCs w:val="20"/>
                <w:lang w:val="en-US" w:eastAsia="zh-CN"/>
              </w:rPr>
            </w:pPr>
            <w:r>
              <w:rPr>
                <w:rFonts w:hint="eastAsia" w:ascii="仿宋_GB2312" w:hAnsi="仿宋_GB2312" w:eastAsia="仿宋_GB2312" w:cs="仿宋_GB2312"/>
                <w:b w:val="0"/>
                <w:bCs w:val="0"/>
                <w:color w:val="auto"/>
                <w:kern w:val="0"/>
                <w:sz w:val="20"/>
                <w:szCs w:val="20"/>
                <w:lang w:val="en-US" w:eastAsia="zh-CN"/>
              </w:rPr>
              <w:t>0</w:t>
            </w:r>
          </w:p>
        </w:tc>
        <w:tc>
          <w:tcPr>
            <w:tcW w:w="1978" w:type="dxa"/>
            <w:tcBorders>
              <w:top w:val="nil"/>
              <w:left w:val="nil"/>
              <w:bottom w:val="single" w:color="auto" w:sz="4" w:space="0"/>
              <w:right w:val="single" w:color="auto" w:sz="4" w:space="0"/>
            </w:tcBorders>
            <w:vAlign w:val="center"/>
          </w:tcPr>
          <w:p>
            <w:pPr>
              <w:autoSpaceDN w:val="0"/>
              <w:jc w:val="center"/>
              <w:textAlignment w:val="center"/>
              <w:rPr>
                <w:rFonts w:hint="eastAsia" w:ascii="仿宋_GB2312" w:hAnsi="仿宋_GB2312" w:eastAsia="仿宋_GB2312" w:cs="仿宋_GB2312"/>
                <w:b w:val="0"/>
                <w:bCs w:val="0"/>
                <w:color w:val="auto"/>
                <w:kern w:val="0"/>
                <w:sz w:val="20"/>
                <w:szCs w:val="20"/>
                <w:lang w:val="en-US" w:eastAsia="zh-CN"/>
              </w:rPr>
            </w:pPr>
            <w:r>
              <w:rPr>
                <w:rFonts w:hint="eastAsia" w:ascii="仿宋_GB2312" w:hAnsi="仿宋_GB2312" w:eastAsia="仿宋_GB2312" w:cs="仿宋_GB2312"/>
                <w:b w:val="0"/>
                <w:bCs w:val="0"/>
                <w:color w:val="auto"/>
                <w:kern w:val="0"/>
                <w:sz w:val="20"/>
                <w:szCs w:val="20"/>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8860" w:type="dxa"/>
            <w:gridSpan w:val="4"/>
            <w:tcBorders>
              <w:top w:val="single" w:color="auto" w:sz="4" w:space="0"/>
              <w:left w:val="single" w:color="auto" w:sz="4" w:space="0"/>
              <w:bottom w:val="single" w:color="auto" w:sz="4" w:space="0"/>
              <w:right w:val="single" w:color="auto" w:sz="4" w:space="0"/>
            </w:tcBorders>
            <w:shd w:val="clear" w:color="auto" w:fill="C6D9F1"/>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第二十条第（五）项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3383" w:type="dxa"/>
            <w:tcBorders>
              <w:top w:val="nil"/>
              <w:left w:val="single" w:color="auto" w:sz="4" w:space="0"/>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信息内容</w:t>
            </w:r>
          </w:p>
        </w:tc>
        <w:tc>
          <w:tcPr>
            <w:tcW w:w="5477" w:type="dxa"/>
            <w:gridSpan w:val="3"/>
            <w:tcBorders>
              <w:top w:val="single" w:color="auto" w:sz="4" w:space="0"/>
              <w:left w:val="nil"/>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rPr>
            </w:pPr>
            <w:r>
              <w:rPr>
                <w:rFonts w:hint="eastAsia" w:ascii="宋体" w:hAnsi="宋体" w:cs="宋体"/>
                <w:color w:val="auto"/>
                <w:kern w:val="0"/>
                <w:sz w:val="20"/>
                <w:szCs w:val="20"/>
                <w:lang w:eastAsia="zh-CN"/>
              </w:rPr>
              <w:t>本年</w:t>
            </w:r>
            <w:r>
              <w:rPr>
                <w:rFonts w:hint="eastAsia" w:ascii="宋体" w:hAnsi="宋体" w:eastAsia="宋体" w:cs="宋体"/>
                <w:color w:val="auto"/>
                <w:kern w:val="0"/>
                <w:sz w:val="20"/>
                <w:szCs w:val="20"/>
              </w:rPr>
              <w:t>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3383" w:type="dxa"/>
            <w:tcBorders>
              <w:top w:val="nil"/>
              <w:left w:val="single" w:color="auto" w:sz="4" w:space="0"/>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行政许可</w:t>
            </w:r>
          </w:p>
        </w:tc>
        <w:tc>
          <w:tcPr>
            <w:tcW w:w="5477" w:type="dxa"/>
            <w:gridSpan w:val="3"/>
            <w:tcBorders>
              <w:top w:val="nil"/>
              <w:left w:val="nil"/>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default" w:ascii="仿宋_GB2312" w:hAnsi="仿宋_GB2312" w:eastAsia="仿宋_GB2312" w:cs="仿宋_GB2312"/>
                <w:b w:val="0"/>
                <w:bCs w:val="0"/>
                <w:color w:val="auto"/>
                <w:kern w:val="0"/>
                <w:sz w:val="20"/>
                <w:szCs w:val="20"/>
                <w:lang w:val="en-US" w:eastAsia="zh-CN"/>
              </w:rPr>
            </w:pPr>
            <w:r>
              <w:rPr>
                <w:rFonts w:hint="eastAsia" w:ascii="仿宋_GB2312" w:hAnsi="仿宋_GB2312" w:eastAsia="仿宋_GB2312" w:cs="仿宋_GB2312"/>
                <w:b w:val="0"/>
                <w:bCs w:val="0"/>
                <w:color w:val="auto"/>
                <w:kern w:val="0"/>
                <w:sz w:val="20"/>
                <w:szCs w:val="20"/>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8860" w:type="dxa"/>
            <w:gridSpan w:val="4"/>
            <w:tcBorders>
              <w:top w:val="single" w:color="auto" w:sz="4" w:space="0"/>
              <w:left w:val="single" w:color="auto" w:sz="4" w:space="0"/>
              <w:bottom w:val="single" w:color="auto" w:sz="4" w:space="0"/>
              <w:right w:val="single" w:color="auto" w:sz="4" w:space="0"/>
            </w:tcBorders>
            <w:shd w:val="clear" w:color="auto" w:fill="C6D9F1"/>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第二十条第（六）项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3383" w:type="dxa"/>
            <w:tcBorders>
              <w:top w:val="nil"/>
              <w:left w:val="single" w:color="auto" w:sz="4" w:space="0"/>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信息内容</w:t>
            </w:r>
          </w:p>
        </w:tc>
        <w:tc>
          <w:tcPr>
            <w:tcW w:w="5477" w:type="dxa"/>
            <w:gridSpan w:val="3"/>
            <w:tcBorders>
              <w:top w:val="single" w:color="auto" w:sz="4" w:space="0"/>
              <w:left w:val="nil"/>
              <w:bottom w:val="single" w:color="auto" w:sz="4" w:space="0"/>
              <w:right w:val="single" w:color="auto" w:sz="4" w:space="0"/>
            </w:tcBorders>
            <w:vAlign w:val="center"/>
          </w:tcPr>
          <w:p>
            <w:pPr>
              <w:widowControl/>
              <w:wordWrap/>
              <w:adjustRightInd/>
              <w:snapToGrid/>
              <w:spacing w:before="0" w:after="0" w:line="400" w:lineRule="exact"/>
              <w:ind w:left="0" w:leftChars="0" w:right="0" w:rightChars="0" w:firstLine="0" w:firstLineChars="0"/>
              <w:jc w:val="center"/>
              <w:textAlignment w:val="auto"/>
              <w:outlineLvl w:val="9"/>
              <w:rPr>
                <w:rFonts w:hint="eastAsia" w:ascii="宋体" w:hAnsi="宋体" w:eastAsia="宋体" w:cs="宋体"/>
                <w:color w:val="auto"/>
                <w:kern w:val="0"/>
                <w:sz w:val="20"/>
                <w:szCs w:val="20"/>
              </w:rPr>
            </w:pPr>
            <w:r>
              <w:rPr>
                <w:rFonts w:hint="eastAsia" w:ascii="宋体" w:hAnsi="宋体" w:cs="宋体"/>
                <w:color w:val="auto"/>
                <w:kern w:val="0"/>
                <w:sz w:val="20"/>
                <w:szCs w:val="20"/>
                <w:lang w:eastAsia="zh-CN"/>
              </w:rPr>
              <w:t>本年</w:t>
            </w:r>
            <w:r>
              <w:rPr>
                <w:rFonts w:hint="eastAsia" w:ascii="宋体" w:hAnsi="宋体" w:eastAsia="宋体" w:cs="宋体"/>
                <w:color w:val="auto"/>
                <w:kern w:val="0"/>
                <w:sz w:val="20"/>
                <w:szCs w:val="20"/>
              </w:rPr>
              <w:t>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3383" w:type="dxa"/>
            <w:tcBorders>
              <w:top w:val="nil"/>
              <w:left w:val="single" w:color="auto" w:sz="4" w:space="0"/>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行政处罚</w:t>
            </w:r>
          </w:p>
        </w:tc>
        <w:tc>
          <w:tcPr>
            <w:tcW w:w="5477" w:type="dxa"/>
            <w:gridSpan w:val="3"/>
            <w:tcBorders>
              <w:top w:val="single" w:color="auto" w:sz="4" w:space="0"/>
              <w:left w:val="nil"/>
              <w:bottom w:val="single" w:color="auto" w:sz="4" w:space="0"/>
              <w:right w:val="single" w:color="auto" w:sz="4" w:space="0"/>
            </w:tcBorders>
            <w:vAlign w:val="center"/>
          </w:tcPr>
          <w:p>
            <w:pPr>
              <w:widowControl/>
              <w:wordWrap/>
              <w:adjustRightInd/>
              <w:snapToGrid/>
              <w:spacing w:before="0" w:after="0" w:line="400" w:lineRule="exact"/>
              <w:ind w:left="0" w:leftChars="0" w:right="0" w:rightChars="0" w:firstLine="0" w:firstLineChars="0"/>
              <w:jc w:val="center"/>
              <w:textAlignment w:val="auto"/>
              <w:outlineLvl w:val="9"/>
              <w:rPr>
                <w:rFonts w:hint="default" w:ascii="仿宋_GB2312" w:hAnsi="仿宋_GB2312" w:eastAsia="仿宋_GB2312" w:cs="仿宋_GB2312"/>
                <w:b w:val="0"/>
                <w:bCs w:val="0"/>
                <w:color w:val="auto"/>
                <w:kern w:val="0"/>
                <w:sz w:val="20"/>
                <w:szCs w:val="20"/>
                <w:lang w:val="en-US" w:eastAsia="zh-CN"/>
              </w:rPr>
            </w:pPr>
            <w:r>
              <w:rPr>
                <w:rFonts w:hint="eastAsia" w:ascii="仿宋_GB2312" w:hAnsi="仿宋_GB2312" w:eastAsia="仿宋_GB2312" w:cs="仿宋_GB2312"/>
                <w:b w:val="0"/>
                <w:bCs w:val="0"/>
                <w:color w:val="auto"/>
                <w:kern w:val="0"/>
                <w:sz w:val="20"/>
                <w:szCs w:val="20"/>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3383" w:type="dxa"/>
            <w:tcBorders>
              <w:top w:val="nil"/>
              <w:left w:val="single" w:color="auto" w:sz="4" w:space="0"/>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行政强制</w:t>
            </w:r>
          </w:p>
        </w:tc>
        <w:tc>
          <w:tcPr>
            <w:tcW w:w="5477" w:type="dxa"/>
            <w:gridSpan w:val="3"/>
            <w:tcBorders>
              <w:top w:val="nil"/>
              <w:left w:val="nil"/>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default" w:ascii="仿宋_GB2312" w:hAnsi="仿宋_GB2312" w:eastAsia="仿宋_GB2312" w:cs="仿宋_GB2312"/>
                <w:b w:val="0"/>
                <w:bCs w:val="0"/>
                <w:color w:val="auto"/>
                <w:kern w:val="0"/>
                <w:sz w:val="20"/>
                <w:szCs w:val="20"/>
                <w:lang w:val="en-US" w:eastAsia="zh-CN"/>
              </w:rPr>
            </w:pPr>
            <w:r>
              <w:rPr>
                <w:rFonts w:hint="eastAsia" w:ascii="仿宋_GB2312" w:hAnsi="仿宋_GB2312" w:eastAsia="仿宋_GB2312" w:cs="仿宋_GB2312"/>
                <w:b w:val="0"/>
                <w:bCs w:val="0"/>
                <w:color w:val="auto"/>
                <w:kern w:val="0"/>
                <w:sz w:val="20"/>
                <w:szCs w:val="20"/>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8860" w:type="dxa"/>
            <w:gridSpan w:val="4"/>
            <w:tcBorders>
              <w:top w:val="single" w:color="auto" w:sz="4" w:space="0"/>
              <w:left w:val="single" w:color="auto" w:sz="4" w:space="0"/>
              <w:bottom w:val="single" w:color="auto" w:sz="4" w:space="0"/>
              <w:right w:val="single" w:color="auto" w:sz="4" w:space="0"/>
            </w:tcBorders>
            <w:shd w:val="clear" w:color="auto" w:fill="C6D9F1"/>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第二十条第（八）项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3383" w:type="dxa"/>
            <w:tcBorders>
              <w:top w:val="nil"/>
              <w:left w:val="single" w:color="auto" w:sz="4" w:space="0"/>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信息内容</w:t>
            </w:r>
          </w:p>
        </w:tc>
        <w:tc>
          <w:tcPr>
            <w:tcW w:w="5477" w:type="dxa"/>
            <w:gridSpan w:val="3"/>
            <w:tcBorders>
              <w:top w:val="nil"/>
              <w:left w:val="nil"/>
              <w:bottom w:val="single" w:color="auto" w:sz="4" w:space="0"/>
              <w:right w:val="single" w:color="000000"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rPr>
            </w:pPr>
            <w:r>
              <w:rPr>
                <w:rFonts w:hint="eastAsia" w:ascii="宋体" w:hAnsi="宋体" w:cs="宋体"/>
                <w:color w:val="auto"/>
                <w:kern w:val="0"/>
                <w:sz w:val="20"/>
                <w:szCs w:val="20"/>
                <w:lang w:eastAsia="zh-CN"/>
              </w:rPr>
              <w:t>本年收费金额（单位：万元）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3383" w:type="dxa"/>
            <w:tcBorders>
              <w:top w:val="nil"/>
              <w:left w:val="single" w:color="auto" w:sz="4" w:space="0"/>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行政事业性收费</w:t>
            </w:r>
          </w:p>
        </w:tc>
        <w:tc>
          <w:tcPr>
            <w:tcW w:w="5477" w:type="dxa"/>
            <w:gridSpan w:val="3"/>
            <w:tcBorders>
              <w:top w:val="nil"/>
              <w:left w:val="nil"/>
              <w:bottom w:val="single" w:color="auto" w:sz="4" w:space="0"/>
              <w:right w:val="single" w:color="000000"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default" w:ascii="仿宋_GB2312" w:hAnsi="仿宋_GB2312" w:eastAsia="仿宋_GB2312" w:cs="仿宋_GB2312"/>
                <w:b w:val="0"/>
                <w:bCs w:val="0"/>
                <w:color w:val="auto"/>
                <w:kern w:val="0"/>
                <w:sz w:val="20"/>
                <w:szCs w:val="20"/>
                <w:lang w:val="en-US" w:eastAsia="zh-CN"/>
              </w:rPr>
            </w:pPr>
            <w:r>
              <w:rPr>
                <w:rFonts w:hint="eastAsia" w:ascii="仿宋_GB2312" w:hAnsi="仿宋_GB2312" w:eastAsia="仿宋_GB2312" w:cs="仿宋_GB2312"/>
                <w:b w:val="0"/>
                <w:bCs w:val="0"/>
                <w:color w:val="auto"/>
                <w:kern w:val="0"/>
                <w:sz w:val="20"/>
                <w:szCs w:val="20"/>
                <w:lang w:val="en-US" w:eastAsia="zh-CN"/>
              </w:rPr>
              <w:t>0</w:t>
            </w:r>
          </w:p>
        </w:tc>
      </w:tr>
    </w:tbl>
    <w:p>
      <w:pPr>
        <w:widowControl w:val="0"/>
        <w:numPr>
          <w:ilvl w:val="0"/>
          <w:numId w:val="0"/>
        </w:numPr>
        <w:wordWrap/>
        <w:adjustRightInd/>
        <w:snapToGrid/>
        <w:spacing w:before="0" w:after="0" w:line="576" w:lineRule="exact"/>
        <w:ind w:left="0" w:leftChars="0" w:right="0" w:firstLine="0" w:firstLine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    三、收到和处理政府信息公开申请情况</w:t>
      </w:r>
    </w:p>
    <w:tbl>
      <w:tblPr>
        <w:tblStyle w:val="4"/>
        <w:tblW w:w="89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3"/>
        <w:gridCol w:w="804"/>
        <w:gridCol w:w="2401"/>
        <w:gridCol w:w="732"/>
        <w:gridCol w:w="675"/>
        <w:gridCol w:w="770"/>
        <w:gridCol w:w="892"/>
        <w:gridCol w:w="921"/>
        <w:gridCol w:w="650"/>
        <w:gridCol w:w="6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3668" w:type="dxa"/>
            <w:gridSpan w:val="3"/>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（本列数据的勾稽关系为：第一项加第二项之和，等于第三项加第四项之和）</w:t>
            </w:r>
          </w:p>
        </w:tc>
        <w:tc>
          <w:tcPr>
            <w:tcW w:w="5331" w:type="dxa"/>
            <w:gridSpan w:val="7"/>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3668" w:type="dxa"/>
            <w:gridSpan w:val="3"/>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732" w:type="dxa"/>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自然人</w:t>
            </w:r>
          </w:p>
        </w:tc>
        <w:tc>
          <w:tcPr>
            <w:tcW w:w="3908" w:type="dxa"/>
            <w:gridSpan w:val="5"/>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法人或其他组织</w:t>
            </w:r>
          </w:p>
        </w:tc>
        <w:tc>
          <w:tcPr>
            <w:tcW w:w="691" w:type="dxa"/>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3668" w:type="dxa"/>
            <w:gridSpan w:val="3"/>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732"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6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商业企业</w:t>
            </w:r>
          </w:p>
        </w:tc>
        <w:tc>
          <w:tcPr>
            <w:tcW w:w="7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科研机构</w:t>
            </w:r>
          </w:p>
        </w:tc>
        <w:tc>
          <w:tcPr>
            <w:tcW w:w="89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社会公益组织</w:t>
            </w:r>
          </w:p>
        </w:tc>
        <w:tc>
          <w:tcPr>
            <w:tcW w:w="92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法律服务机构</w:t>
            </w:r>
          </w:p>
        </w:tc>
        <w:tc>
          <w:tcPr>
            <w:tcW w:w="65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其他</w:t>
            </w:r>
          </w:p>
        </w:tc>
        <w:tc>
          <w:tcPr>
            <w:tcW w:w="691"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3668" w:type="dxa"/>
            <w:gridSpan w:val="3"/>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一、本年新收政府信息公开申请数量</w:t>
            </w:r>
          </w:p>
        </w:tc>
        <w:tc>
          <w:tcPr>
            <w:tcW w:w="732" w:type="dxa"/>
            <w:tcBorders>
              <w:tl2br w:val="nil"/>
              <w:tr2bl w:val="nil"/>
            </w:tcBorders>
            <w:vAlign w:val="center"/>
          </w:tcPr>
          <w:p>
            <w:pPr>
              <w:keepNext w:val="0"/>
              <w:keepLines w:val="0"/>
              <w:pageBreakBefore w:val="0"/>
              <w:widowControl/>
              <w:kinsoku/>
              <w:wordWrap/>
              <w:overflowPunct/>
              <w:topLinePunct w:val="0"/>
              <w:autoSpaceDE/>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both"/>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7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89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92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5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9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3668" w:type="dxa"/>
            <w:gridSpan w:val="3"/>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二、上年结转政府信息公开申请数量</w:t>
            </w:r>
          </w:p>
        </w:tc>
        <w:tc>
          <w:tcPr>
            <w:tcW w:w="73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both"/>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7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89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92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5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9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sz w:val="21"/>
                <w:szCs w:val="21"/>
              </w:rPr>
            </w:pPr>
          </w:p>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sz w:val="21"/>
                <w:szCs w:val="21"/>
              </w:rPr>
            </w:pPr>
          </w:p>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sz w:val="21"/>
                <w:szCs w:val="21"/>
              </w:rPr>
            </w:pPr>
          </w:p>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sz w:val="21"/>
                <w:szCs w:val="21"/>
              </w:rPr>
            </w:pPr>
          </w:p>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sz w:val="21"/>
                <w:szCs w:val="21"/>
              </w:rPr>
            </w:pPr>
          </w:p>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sz w:val="21"/>
                <w:szCs w:val="21"/>
              </w:rPr>
            </w:pPr>
          </w:p>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sz w:val="21"/>
                <w:szCs w:val="21"/>
              </w:rPr>
            </w:pPr>
          </w:p>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sz w:val="21"/>
                <w:szCs w:val="21"/>
              </w:rPr>
            </w:pPr>
          </w:p>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sz w:val="21"/>
                <w:szCs w:val="21"/>
              </w:rPr>
            </w:pPr>
          </w:p>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sz w:val="21"/>
                <w:szCs w:val="21"/>
              </w:rPr>
            </w:pPr>
          </w:p>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sz w:val="21"/>
                <w:szCs w:val="21"/>
              </w:rPr>
            </w:pPr>
          </w:p>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sz w:val="21"/>
                <w:szCs w:val="21"/>
              </w:rPr>
            </w:pPr>
          </w:p>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sz w:val="21"/>
                <w:szCs w:val="21"/>
              </w:rPr>
            </w:pPr>
          </w:p>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sz w:val="21"/>
                <w:szCs w:val="21"/>
              </w:rPr>
            </w:pPr>
          </w:p>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sz w:val="21"/>
                <w:szCs w:val="21"/>
              </w:rPr>
            </w:pPr>
          </w:p>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sz w:val="21"/>
                <w:szCs w:val="21"/>
              </w:rPr>
            </w:pPr>
          </w:p>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sz w:val="21"/>
                <w:szCs w:val="21"/>
              </w:rPr>
            </w:pPr>
          </w:p>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sz w:val="21"/>
                <w:szCs w:val="21"/>
              </w:rPr>
            </w:pPr>
          </w:p>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sz w:val="21"/>
                <w:szCs w:val="21"/>
              </w:rPr>
            </w:pPr>
          </w:p>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sz w:val="21"/>
                <w:szCs w:val="21"/>
              </w:rPr>
            </w:pPr>
          </w:p>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三、本年度办理结果</w:t>
            </w:r>
          </w:p>
        </w:tc>
        <w:tc>
          <w:tcPr>
            <w:tcW w:w="3205"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（一）予以公开</w:t>
            </w:r>
          </w:p>
        </w:tc>
        <w:tc>
          <w:tcPr>
            <w:tcW w:w="732" w:type="dxa"/>
            <w:tcBorders>
              <w:tl2br w:val="nil"/>
              <w:tr2bl w:val="nil"/>
            </w:tcBorders>
            <w:vAlign w:val="center"/>
          </w:tcPr>
          <w:p>
            <w:pPr>
              <w:keepNext w:val="0"/>
              <w:keepLines w:val="0"/>
              <w:pageBreakBefore w:val="0"/>
              <w:widowControl/>
              <w:kinsoku/>
              <w:wordWrap/>
              <w:overflowPunct/>
              <w:topLinePunct w:val="0"/>
              <w:autoSpaceDE/>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both"/>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7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89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92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5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9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3205"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（二）部分公开（区分处理的，只计这一情形，不计其他情形）</w:t>
            </w:r>
          </w:p>
        </w:tc>
        <w:tc>
          <w:tcPr>
            <w:tcW w:w="73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both"/>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7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89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92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5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9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804" w:type="dxa"/>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sz w:val="21"/>
                <w:szCs w:val="21"/>
              </w:rPr>
            </w:pPr>
          </w:p>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sz w:val="21"/>
                <w:szCs w:val="21"/>
              </w:rPr>
            </w:pPr>
          </w:p>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sz w:val="21"/>
                <w:szCs w:val="21"/>
              </w:rPr>
            </w:pPr>
          </w:p>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sz w:val="21"/>
                <w:szCs w:val="21"/>
              </w:rPr>
            </w:pPr>
          </w:p>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（三）不予公开</w:t>
            </w:r>
          </w:p>
        </w:tc>
        <w:tc>
          <w:tcPr>
            <w:tcW w:w="240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1.属于国家秘密</w:t>
            </w:r>
          </w:p>
        </w:tc>
        <w:tc>
          <w:tcPr>
            <w:tcW w:w="732" w:type="dxa"/>
            <w:tcBorders>
              <w:tl2br w:val="nil"/>
              <w:tr2bl w:val="nil"/>
            </w:tcBorders>
            <w:vAlign w:val="center"/>
          </w:tcPr>
          <w:p>
            <w:pPr>
              <w:keepNext w:val="0"/>
              <w:keepLines w:val="0"/>
              <w:pageBreakBefore w:val="0"/>
              <w:widowControl/>
              <w:kinsoku/>
              <w:wordWrap/>
              <w:overflowPunct/>
              <w:topLinePunct w:val="0"/>
              <w:autoSpaceDE/>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both"/>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7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89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92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5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9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804"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240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2.其他法律行政法规禁止公开</w:t>
            </w:r>
          </w:p>
        </w:tc>
        <w:tc>
          <w:tcPr>
            <w:tcW w:w="73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both"/>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7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89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92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5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9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804"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240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3.危及“三安全一稳定”</w:t>
            </w:r>
          </w:p>
        </w:tc>
        <w:tc>
          <w:tcPr>
            <w:tcW w:w="732" w:type="dxa"/>
            <w:tcBorders>
              <w:tl2br w:val="nil"/>
              <w:tr2bl w:val="nil"/>
            </w:tcBorders>
            <w:vAlign w:val="center"/>
          </w:tcPr>
          <w:p>
            <w:pPr>
              <w:keepNext w:val="0"/>
              <w:keepLines w:val="0"/>
              <w:pageBreakBefore w:val="0"/>
              <w:widowControl/>
              <w:kinsoku/>
              <w:wordWrap/>
              <w:overflowPunct/>
              <w:topLinePunct w:val="0"/>
              <w:autoSpaceDE/>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both"/>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7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89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92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5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9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804"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240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4.保护第三方合法权益</w:t>
            </w:r>
          </w:p>
        </w:tc>
        <w:tc>
          <w:tcPr>
            <w:tcW w:w="73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both"/>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7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89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92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5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9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804"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240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5.属于三类内部事务信息</w:t>
            </w:r>
          </w:p>
        </w:tc>
        <w:tc>
          <w:tcPr>
            <w:tcW w:w="732" w:type="dxa"/>
            <w:tcBorders>
              <w:tl2br w:val="nil"/>
              <w:tr2bl w:val="nil"/>
            </w:tcBorders>
            <w:vAlign w:val="center"/>
          </w:tcPr>
          <w:p>
            <w:pPr>
              <w:keepNext w:val="0"/>
              <w:keepLines w:val="0"/>
              <w:pageBreakBefore w:val="0"/>
              <w:widowControl/>
              <w:kinsoku/>
              <w:wordWrap/>
              <w:overflowPunct/>
              <w:topLinePunct w:val="0"/>
              <w:autoSpaceDE/>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both"/>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7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89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92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5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9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804"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240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6.属于四类过程性信息</w:t>
            </w:r>
          </w:p>
        </w:tc>
        <w:tc>
          <w:tcPr>
            <w:tcW w:w="73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both"/>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7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89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92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5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9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804"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240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7.属于行政执法案卷</w:t>
            </w:r>
          </w:p>
        </w:tc>
        <w:tc>
          <w:tcPr>
            <w:tcW w:w="732" w:type="dxa"/>
            <w:tcBorders>
              <w:tl2br w:val="nil"/>
              <w:tr2bl w:val="nil"/>
            </w:tcBorders>
            <w:vAlign w:val="center"/>
          </w:tcPr>
          <w:p>
            <w:pPr>
              <w:keepNext w:val="0"/>
              <w:keepLines w:val="0"/>
              <w:pageBreakBefore w:val="0"/>
              <w:widowControl/>
              <w:kinsoku/>
              <w:wordWrap/>
              <w:overflowPunct/>
              <w:topLinePunct w:val="0"/>
              <w:autoSpaceDE/>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both"/>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7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89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92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5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9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804"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240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8.属于行政查询事项</w:t>
            </w:r>
          </w:p>
        </w:tc>
        <w:tc>
          <w:tcPr>
            <w:tcW w:w="73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both"/>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7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89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92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5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9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804" w:type="dxa"/>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（四）无法提供</w:t>
            </w:r>
          </w:p>
        </w:tc>
        <w:tc>
          <w:tcPr>
            <w:tcW w:w="240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1.本机关不掌握相关政府信息</w:t>
            </w:r>
          </w:p>
        </w:tc>
        <w:tc>
          <w:tcPr>
            <w:tcW w:w="732" w:type="dxa"/>
            <w:tcBorders>
              <w:tl2br w:val="nil"/>
              <w:tr2bl w:val="nil"/>
            </w:tcBorders>
            <w:vAlign w:val="center"/>
          </w:tcPr>
          <w:p>
            <w:pPr>
              <w:keepNext w:val="0"/>
              <w:keepLines w:val="0"/>
              <w:pageBreakBefore w:val="0"/>
              <w:widowControl/>
              <w:kinsoku/>
              <w:wordWrap/>
              <w:overflowPunct/>
              <w:topLinePunct w:val="0"/>
              <w:autoSpaceDE/>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both"/>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7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89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92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5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9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804"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240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2.没有现成信息需要另行制作</w:t>
            </w:r>
          </w:p>
        </w:tc>
        <w:tc>
          <w:tcPr>
            <w:tcW w:w="73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both"/>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7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89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92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5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9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804"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240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3.补正后申请内容仍不明确</w:t>
            </w:r>
          </w:p>
        </w:tc>
        <w:tc>
          <w:tcPr>
            <w:tcW w:w="732" w:type="dxa"/>
            <w:tcBorders>
              <w:tl2br w:val="nil"/>
              <w:tr2bl w:val="nil"/>
            </w:tcBorders>
            <w:vAlign w:val="center"/>
          </w:tcPr>
          <w:p>
            <w:pPr>
              <w:keepNext w:val="0"/>
              <w:keepLines w:val="0"/>
              <w:pageBreakBefore w:val="0"/>
              <w:widowControl/>
              <w:kinsoku/>
              <w:wordWrap/>
              <w:overflowPunct/>
              <w:topLinePunct w:val="0"/>
              <w:autoSpaceDE/>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both"/>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7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89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92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5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9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804" w:type="dxa"/>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（五）不予处理</w:t>
            </w:r>
          </w:p>
        </w:tc>
        <w:tc>
          <w:tcPr>
            <w:tcW w:w="240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1.信访举报投诉类申请</w:t>
            </w:r>
          </w:p>
        </w:tc>
        <w:tc>
          <w:tcPr>
            <w:tcW w:w="73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both"/>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7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89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92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5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9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804"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240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2.重复申请</w:t>
            </w:r>
          </w:p>
        </w:tc>
        <w:tc>
          <w:tcPr>
            <w:tcW w:w="732" w:type="dxa"/>
            <w:tcBorders>
              <w:tl2br w:val="nil"/>
              <w:tr2bl w:val="nil"/>
            </w:tcBorders>
            <w:vAlign w:val="center"/>
          </w:tcPr>
          <w:p>
            <w:pPr>
              <w:keepNext w:val="0"/>
              <w:keepLines w:val="0"/>
              <w:pageBreakBefore w:val="0"/>
              <w:widowControl/>
              <w:kinsoku/>
              <w:wordWrap/>
              <w:overflowPunct/>
              <w:topLinePunct w:val="0"/>
              <w:autoSpaceDE/>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both"/>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7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89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92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5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9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804"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240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3.要求提供公开出版物</w:t>
            </w:r>
          </w:p>
        </w:tc>
        <w:tc>
          <w:tcPr>
            <w:tcW w:w="73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both"/>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7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89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92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5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9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463"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804"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240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4.无正当理由大量反复申请</w:t>
            </w:r>
          </w:p>
        </w:tc>
        <w:tc>
          <w:tcPr>
            <w:tcW w:w="732" w:type="dxa"/>
            <w:tcBorders>
              <w:tl2br w:val="nil"/>
              <w:tr2bl w:val="nil"/>
            </w:tcBorders>
            <w:vAlign w:val="center"/>
          </w:tcPr>
          <w:p>
            <w:pPr>
              <w:keepNext w:val="0"/>
              <w:keepLines w:val="0"/>
              <w:pageBreakBefore w:val="0"/>
              <w:widowControl/>
              <w:kinsoku/>
              <w:wordWrap/>
              <w:overflowPunct/>
              <w:topLinePunct w:val="0"/>
              <w:autoSpaceDE/>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both"/>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7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89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92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5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9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804"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240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left"/>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sz w:val="21"/>
                <w:szCs w:val="21"/>
              </w:rPr>
              <w:t>5.要求行政机关确认或重新出具已获取信息</w:t>
            </w:r>
          </w:p>
        </w:tc>
        <w:tc>
          <w:tcPr>
            <w:tcW w:w="73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both"/>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7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89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92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5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9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463"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804" w:type="dxa"/>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（六）其他处理</w:t>
            </w:r>
          </w:p>
        </w:tc>
        <w:tc>
          <w:tcPr>
            <w:tcW w:w="240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left"/>
              <w:textAlignment w:val="auto"/>
              <w:outlineLvl w:val="9"/>
              <w:rPr>
                <w:rFonts w:hint="eastAsia" w:ascii="仿宋_GB2312" w:hAnsi="仿宋_GB2312" w:eastAsia="仿宋_GB2312" w:cs="仿宋_GB2312"/>
                <w:color w:val="333333"/>
                <w:sz w:val="21"/>
                <w:szCs w:val="21"/>
              </w:rPr>
            </w:pPr>
            <w:r>
              <w:rPr>
                <w:rFonts w:hint="eastAsia" w:ascii="仿宋_GB2312" w:hAnsi="仿宋_GB2312" w:eastAsia="仿宋_GB2312" w:cs="仿宋_GB2312"/>
                <w:color w:val="333333"/>
                <w:sz w:val="21"/>
                <w:szCs w:val="21"/>
                <w:lang w:val="en-US" w:eastAsia="zh-CN"/>
              </w:rPr>
              <w:t>1.申请人无正当理由逾期不补正、行政机关不再处理其政府信息公开申请</w:t>
            </w:r>
          </w:p>
        </w:tc>
        <w:tc>
          <w:tcPr>
            <w:tcW w:w="73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default"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bidi="ar-SA"/>
              </w:rPr>
              <w:t>0</w:t>
            </w:r>
          </w:p>
        </w:tc>
        <w:tc>
          <w:tcPr>
            <w:tcW w:w="6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default"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bidi="ar-SA"/>
              </w:rPr>
              <w:t>0</w:t>
            </w:r>
          </w:p>
        </w:tc>
        <w:tc>
          <w:tcPr>
            <w:tcW w:w="7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default"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bidi="ar-SA"/>
              </w:rPr>
              <w:t>0</w:t>
            </w:r>
          </w:p>
        </w:tc>
        <w:tc>
          <w:tcPr>
            <w:tcW w:w="89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default"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bidi="ar-SA"/>
              </w:rPr>
              <w:t>0</w:t>
            </w:r>
          </w:p>
        </w:tc>
        <w:tc>
          <w:tcPr>
            <w:tcW w:w="92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default"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bidi="ar-SA"/>
              </w:rPr>
              <w:t>0</w:t>
            </w:r>
          </w:p>
        </w:tc>
        <w:tc>
          <w:tcPr>
            <w:tcW w:w="65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default"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bidi="ar-SA"/>
              </w:rPr>
              <w:t>0</w:t>
            </w:r>
          </w:p>
        </w:tc>
        <w:tc>
          <w:tcPr>
            <w:tcW w:w="69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default"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bidi="ar-S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463"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804"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240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left"/>
              <w:textAlignment w:val="auto"/>
              <w:outlineLvl w:val="9"/>
              <w:rPr>
                <w:rFonts w:hint="eastAsia" w:ascii="仿宋_GB2312" w:hAnsi="仿宋_GB2312" w:eastAsia="仿宋_GB2312" w:cs="仿宋_GB2312"/>
                <w:color w:val="333333"/>
                <w:sz w:val="21"/>
                <w:szCs w:val="21"/>
              </w:rPr>
            </w:pPr>
            <w:r>
              <w:rPr>
                <w:rFonts w:hint="eastAsia" w:ascii="仿宋_GB2312" w:hAnsi="仿宋_GB2312" w:eastAsia="仿宋_GB2312" w:cs="仿宋_GB2312"/>
                <w:color w:val="333333"/>
                <w:sz w:val="21"/>
                <w:szCs w:val="21"/>
                <w:lang w:val="en-US" w:eastAsia="zh-CN"/>
              </w:rPr>
              <w:t>2.申请人逾期未按收费通知要求缴纳费用、行政机关不再处理其政府信息公开申请</w:t>
            </w:r>
          </w:p>
        </w:tc>
        <w:tc>
          <w:tcPr>
            <w:tcW w:w="73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default"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bidi="ar-SA"/>
              </w:rPr>
              <w:t>0</w:t>
            </w:r>
          </w:p>
        </w:tc>
        <w:tc>
          <w:tcPr>
            <w:tcW w:w="6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default"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bidi="ar-SA"/>
              </w:rPr>
              <w:t>0</w:t>
            </w:r>
          </w:p>
        </w:tc>
        <w:tc>
          <w:tcPr>
            <w:tcW w:w="7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default"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bidi="ar-SA"/>
              </w:rPr>
              <w:t>0</w:t>
            </w:r>
          </w:p>
        </w:tc>
        <w:tc>
          <w:tcPr>
            <w:tcW w:w="89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default"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bidi="ar-SA"/>
              </w:rPr>
              <w:t>0</w:t>
            </w:r>
          </w:p>
        </w:tc>
        <w:tc>
          <w:tcPr>
            <w:tcW w:w="92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default"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bidi="ar-SA"/>
              </w:rPr>
              <w:t>0</w:t>
            </w:r>
          </w:p>
        </w:tc>
        <w:tc>
          <w:tcPr>
            <w:tcW w:w="65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default"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bidi="ar-SA"/>
              </w:rPr>
              <w:t>0</w:t>
            </w:r>
          </w:p>
        </w:tc>
        <w:tc>
          <w:tcPr>
            <w:tcW w:w="69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default"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bidi="ar-S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804"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240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left"/>
              <w:textAlignment w:val="auto"/>
              <w:outlineLvl w:val="9"/>
              <w:rPr>
                <w:rFonts w:hint="eastAsia" w:ascii="仿宋_GB2312" w:hAnsi="仿宋_GB2312" w:eastAsia="仿宋_GB2312" w:cs="仿宋_GB2312"/>
                <w:color w:val="333333"/>
                <w:sz w:val="21"/>
                <w:szCs w:val="21"/>
              </w:rPr>
            </w:pPr>
            <w:r>
              <w:rPr>
                <w:rFonts w:hint="eastAsia" w:ascii="仿宋_GB2312" w:hAnsi="仿宋_GB2312" w:eastAsia="仿宋_GB2312" w:cs="仿宋_GB2312"/>
                <w:color w:val="333333"/>
                <w:sz w:val="21"/>
                <w:szCs w:val="21"/>
                <w:lang w:val="en-US" w:eastAsia="zh-CN"/>
              </w:rPr>
              <w:t>3.其他</w:t>
            </w:r>
          </w:p>
        </w:tc>
        <w:tc>
          <w:tcPr>
            <w:tcW w:w="73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default"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bidi="ar-SA"/>
              </w:rPr>
              <w:t>0</w:t>
            </w:r>
          </w:p>
        </w:tc>
        <w:tc>
          <w:tcPr>
            <w:tcW w:w="6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default"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bidi="ar-SA"/>
              </w:rPr>
              <w:t>0</w:t>
            </w:r>
          </w:p>
        </w:tc>
        <w:tc>
          <w:tcPr>
            <w:tcW w:w="7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default"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bidi="ar-SA"/>
              </w:rPr>
              <w:t>0</w:t>
            </w:r>
          </w:p>
        </w:tc>
        <w:tc>
          <w:tcPr>
            <w:tcW w:w="89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default"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bidi="ar-SA"/>
              </w:rPr>
              <w:t>0</w:t>
            </w:r>
          </w:p>
        </w:tc>
        <w:tc>
          <w:tcPr>
            <w:tcW w:w="92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default"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bidi="ar-SA"/>
              </w:rPr>
              <w:t>0</w:t>
            </w:r>
          </w:p>
        </w:tc>
        <w:tc>
          <w:tcPr>
            <w:tcW w:w="65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default"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bidi="ar-SA"/>
              </w:rPr>
              <w:t>0</w:t>
            </w:r>
          </w:p>
        </w:tc>
        <w:tc>
          <w:tcPr>
            <w:tcW w:w="69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default"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bidi="ar-S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3205"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（七）总计</w:t>
            </w:r>
          </w:p>
        </w:tc>
        <w:tc>
          <w:tcPr>
            <w:tcW w:w="73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7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89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92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5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9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3668" w:type="dxa"/>
            <w:gridSpan w:val="3"/>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四、结转下年度继续办理</w:t>
            </w:r>
          </w:p>
        </w:tc>
        <w:tc>
          <w:tcPr>
            <w:tcW w:w="73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7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89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92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default"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5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9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r>
    </w:tbl>
    <w:p>
      <w:pPr>
        <w:widowControl w:val="0"/>
        <w:numPr>
          <w:ilvl w:val="0"/>
          <w:numId w:val="0"/>
        </w:numPr>
        <w:wordWrap/>
        <w:adjustRightInd/>
        <w:snapToGrid/>
        <w:spacing w:before="0" w:after="0" w:line="576" w:lineRule="exact"/>
        <w:ind w:left="0" w:leftChars="0" w:right="0"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四、政府信息公开行政复议、行政诉讼情况</w:t>
      </w:r>
    </w:p>
    <w:tbl>
      <w:tblPr>
        <w:tblStyle w:val="4"/>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4"/>
        <w:gridCol w:w="604"/>
        <w:gridCol w:w="604"/>
        <w:gridCol w:w="604"/>
        <w:gridCol w:w="658"/>
        <w:gridCol w:w="550"/>
        <w:gridCol w:w="605"/>
        <w:gridCol w:w="605"/>
        <w:gridCol w:w="605"/>
        <w:gridCol w:w="605"/>
        <w:gridCol w:w="605"/>
        <w:gridCol w:w="605"/>
        <w:gridCol w:w="605"/>
        <w:gridCol w:w="606"/>
        <w:gridCol w:w="6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74" w:type="dxa"/>
            <w:gridSpan w:val="5"/>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ascii="宋体" w:hAnsi="宋体" w:cs="宋体"/>
                <w:color w:val="333333"/>
                <w:kern w:val="0"/>
                <w:szCs w:val="21"/>
              </w:rPr>
            </w:pPr>
            <w:r>
              <w:rPr>
                <w:rFonts w:hint="eastAsia" w:ascii="Calibri" w:hAnsi="Calibri"/>
                <w:color w:val="333333"/>
                <w:sz w:val="20"/>
                <w:szCs w:val="20"/>
              </w:rPr>
              <w:t>行政复议</w:t>
            </w:r>
          </w:p>
        </w:tc>
        <w:tc>
          <w:tcPr>
            <w:tcW w:w="5997" w:type="dxa"/>
            <w:gridSpan w:val="10"/>
            <w:tcBorders>
              <w:top w:val="single" w:color="auto" w:sz="4" w:space="0"/>
              <w:left w:val="nil"/>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ascii="宋体" w:hAnsi="宋体" w:cs="宋体"/>
                <w:color w:val="333333"/>
                <w:kern w:val="0"/>
                <w:szCs w:val="21"/>
              </w:rPr>
            </w:pPr>
            <w:r>
              <w:rPr>
                <w:rFonts w:hint="eastAsia" w:ascii="Calibri" w:hAnsi="Calibri"/>
                <w:color w:val="333333"/>
                <w:sz w:val="20"/>
                <w:szCs w:val="20"/>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4" w:type="dxa"/>
            <w:vMerge w:val="restart"/>
            <w:tcBorders>
              <w:top w:val="nil"/>
              <w:left w:val="single" w:color="auto" w:sz="4" w:space="0"/>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ascii="宋体" w:hAnsi="宋体" w:cs="宋体"/>
                <w:color w:val="333333"/>
                <w:kern w:val="0"/>
                <w:szCs w:val="21"/>
              </w:rPr>
            </w:pPr>
            <w:r>
              <w:rPr>
                <w:rFonts w:hint="eastAsia" w:ascii="Calibri" w:hAnsi="Calibri"/>
                <w:color w:val="333333"/>
                <w:sz w:val="20"/>
                <w:szCs w:val="20"/>
              </w:rPr>
              <w:t>结果维持</w:t>
            </w:r>
          </w:p>
        </w:tc>
        <w:tc>
          <w:tcPr>
            <w:tcW w:w="604" w:type="dxa"/>
            <w:vMerge w:val="restart"/>
            <w:tcBorders>
              <w:top w:val="nil"/>
              <w:left w:val="nil"/>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ascii="宋体" w:hAnsi="宋体" w:cs="宋体"/>
                <w:color w:val="333333"/>
                <w:kern w:val="0"/>
                <w:szCs w:val="21"/>
              </w:rPr>
            </w:pPr>
            <w:r>
              <w:rPr>
                <w:rFonts w:hint="eastAsia" w:ascii="Calibri" w:hAnsi="Calibri"/>
                <w:color w:val="333333"/>
                <w:sz w:val="20"/>
                <w:szCs w:val="20"/>
              </w:rPr>
              <w:t>结果纠正</w:t>
            </w:r>
          </w:p>
        </w:tc>
        <w:tc>
          <w:tcPr>
            <w:tcW w:w="604" w:type="dxa"/>
            <w:vMerge w:val="restart"/>
            <w:tcBorders>
              <w:top w:val="single" w:color="auto" w:sz="4" w:space="0"/>
              <w:left w:val="nil"/>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ascii="宋体" w:hAnsi="宋体" w:cs="宋体"/>
                <w:color w:val="333333"/>
                <w:kern w:val="0"/>
                <w:szCs w:val="21"/>
              </w:rPr>
            </w:pPr>
            <w:r>
              <w:rPr>
                <w:rFonts w:hint="eastAsia" w:ascii="Calibri" w:hAnsi="Calibri"/>
                <w:color w:val="333333"/>
                <w:sz w:val="20"/>
                <w:szCs w:val="20"/>
              </w:rPr>
              <w:t>其他结果</w:t>
            </w:r>
          </w:p>
        </w:tc>
        <w:tc>
          <w:tcPr>
            <w:tcW w:w="604" w:type="dxa"/>
            <w:vMerge w:val="restart"/>
            <w:tcBorders>
              <w:top w:val="single" w:color="auto" w:sz="4" w:space="0"/>
              <w:left w:val="nil"/>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ascii="宋体" w:hAnsi="宋体" w:cs="宋体"/>
                <w:color w:val="333333"/>
                <w:kern w:val="0"/>
                <w:szCs w:val="21"/>
              </w:rPr>
            </w:pPr>
            <w:r>
              <w:rPr>
                <w:rFonts w:hint="eastAsia" w:ascii="Calibri" w:hAnsi="Calibri"/>
                <w:color w:val="333333"/>
                <w:sz w:val="20"/>
                <w:szCs w:val="20"/>
              </w:rPr>
              <w:t>尚未审结</w:t>
            </w:r>
          </w:p>
        </w:tc>
        <w:tc>
          <w:tcPr>
            <w:tcW w:w="658" w:type="dxa"/>
            <w:vMerge w:val="restart"/>
            <w:tcBorders>
              <w:top w:val="single" w:color="auto" w:sz="4" w:space="0"/>
              <w:left w:val="nil"/>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ascii="宋体" w:hAnsi="宋体" w:cs="宋体"/>
                <w:color w:val="333333"/>
                <w:kern w:val="0"/>
                <w:szCs w:val="21"/>
              </w:rPr>
            </w:pPr>
            <w:r>
              <w:rPr>
                <w:rFonts w:hint="eastAsia" w:ascii="Calibri" w:hAnsi="Calibri"/>
                <w:color w:val="333333"/>
                <w:sz w:val="20"/>
                <w:szCs w:val="20"/>
              </w:rPr>
              <w:t>总计</w:t>
            </w:r>
          </w:p>
        </w:tc>
        <w:tc>
          <w:tcPr>
            <w:tcW w:w="2970" w:type="dxa"/>
            <w:gridSpan w:val="5"/>
            <w:tcBorders>
              <w:top w:val="single" w:color="auto" w:sz="4" w:space="0"/>
              <w:left w:val="nil"/>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ascii="宋体" w:hAnsi="宋体" w:cs="宋体"/>
                <w:color w:val="333333"/>
                <w:kern w:val="0"/>
                <w:szCs w:val="21"/>
              </w:rPr>
            </w:pPr>
            <w:r>
              <w:rPr>
                <w:rFonts w:hint="eastAsia" w:ascii="Calibri" w:hAnsi="Calibri"/>
                <w:color w:val="333333"/>
                <w:sz w:val="20"/>
                <w:szCs w:val="20"/>
              </w:rPr>
              <w:t>未经复议直接起诉</w:t>
            </w:r>
          </w:p>
        </w:tc>
        <w:tc>
          <w:tcPr>
            <w:tcW w:w="3027" w:type="dxa"/>
            <w:gridSpan w:val="5"/>
            <w:tcBorders>
              <w:top w:val="single" w:color="auto" w:sz="4" w:space="0"/>
              <w:left w:val="nil"/>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ascii="宋体" w:hAnsi="宋体" w:cs="宋体"/>
                <w:color w:val="333333"/>
                <w:kern w:val="0"/>
                <w:szCs w:val="21"/>
              </w:rPr>
            </w:pPr>
            <w:r>
              <w:rPr>
                <w:rFonts w:hint="eastAsia" w:ascii="Calibri" w:hAnsi="Calibri"/>
                <w:color w:val="333333"/>
                <w:sz w:val="20"/>
                <w:szCs w:val="20"/>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4" w:type="dxa"/>
            <w:vMerge w:val="continue"/>
            <w:tcBorders>
              <w:top w:val="nil"/>
              <w:left w:val="single" w:color="auto" w:sz="4" w:space="0"/>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left"/>
              <w:textAlignment w:val="auto"/>
              <w:outlineLvl w:val="9"/>
              <w:rPr>
                <w:rFonts w:ascii="宋体" w:hAnsi="宋体" w:cs="宋体"/>
                <w:color w:val="333333"/>
                <w:kern w:val="0"/>
                <w:szCs w:val="21"/>
              </w:rPr>
            </w:pPr>
          </w:p>
        </w:tc>
        <w:tc>
          <w:tcPr>
            <w:tcW w:w="604" w:type="dxa"/>
            <w:vMerge w:val="continue"/>
            <w:tcBorders>
              <w:top w:val="nil"/>
              <w:left w:val="nil"/>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left"/>
              <w:textAlignment w:val="auto"/>
              <w:outlineLvl w:val="9"/>
              <w:rPr>
                <w:rFonts w:ascii="宋体" w:hAnsi="宋体" w:cs="宋体"/>
                <w:color w:val="333333"/>
                <w:kern w:val="0"/>
                <w:szCs w:val="21"/>
              </w:rPr>
            </w:pPr>
          </w:p>
        </w:tc>
        <w:tc>
          <w:tcPr>
            <w:tcW w:w="604" w:type="dxa"/>
            <w:vMerge w:val="continue"/>
            <w:tcBorders>
              <w:top w:val="single" w:color="auto" w:sz="4" w:space="0"/>
              <w:left w:val="nil"/>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left"/>
              <w:textAlignment w:val="auto"/>
              <w:outlineLvl w:val="9"/>
              <w:rPr>
                <w:rFonts w:ascii="宋体" w:hAnsi="宋体" w:cs="宋体"/>
                <w:color w:val="333333"/>
                <w:kern w:val="0"/>
                <w:szCs w:val="21"/>
              </w:rPr>
            </w:pPr>
          </w:p>
        </w:tc>
        <w:tc>
          <w:tcPr>
            <w:tcW w:w="604" w:type="dxa"/>
            <w:vMerge w:val="continue"/>
            <w:tcBorders>
              <w:top w:val="single" w:color="auto" w:sz="4" w:space="0"/>
              <w:left w:val="nil"/>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left"/>
              <w:textAlignment w:val="auto"/>
              <w:outlineLvl w:val="9"/>
              <w:rPr>
                <w:rFonts w:ascii="宋体" w:hAnsi="宋体" w:cs="宋体"/>
                <w:color w:val="333333"/>
                <w:kern w:val="0"/>
                <w:szCs w:val="21"/>
              </w:rPr>
            </w:pPr>
          </w:p>
        </w:tc>
        <w:tc>
          <w:tcPr>
            <w:tcW w:w="658" w:type="dxa"/>
            <w:vMerge w:val="continue"/>
            <w:tcBorders>
              <w:top w:val="single" w:color="auto" w:sz="4" w:space="0"/>
              <w:left w:val="nil"/>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left"/>
              <w:textAlignment w:val="auto"/>
              <w:outlineLvl w:val="9"/>
              <w:rPr>
                <w:rFonts w:ascii="宋体" w:hAnsi="宋体" w:cs="宋体"/>
                <w:color w:val="333333"/>
                <w:kern w:val="0"/>
                <w:szCs w:val="21"/>
              </w:rPr>
            </w:pPr>
          </w:p>
        </w:tc>
        <w:tc>
          <w:tcPr>
            <w:tcW w:w="550" w:type="dxa"/>
            <w:tcBorders>
              <w:top w:val="single" w:color="auto" w:sz="4" w:space="0"/>
              <w:left w:val="nil"/>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ascii="宋体" w:hAnsi="宋体" w:cs="宋体"/>
                <w:color w:val="333333"/>
                <w:kern w:val="0"/>
                <w:szCs w:val="21"/>
              </w:rPr>
            </w:pPr>
            <w:r>
              <w:rPr>
                <w:rFonts w:hint="eastAsia" w:ascii="Calibri" w:hAnsi="Calibri"/>
                <w:color w:val="333333"/>
                <w:sz w:val="20"/>
                <w:szCs w:val="20"/>
              </w:rPr>
              <w:t>结果维持</w:t>
            </w:r>
          </w:p>
        </w:tc>
        <w:tc>
          <w:tcPr>
            <w:tcW w:w="605" w:type="dxa"/>
            <w:tcBorders>
              <w:top w:val="single" w:color="auto" w:sz="4" w:space="0"/>
              <w:left w:val="nil"/>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ascii="宋体" w:hAnsi="宋体" w:cs="宋体"/>
                <w:color w:val="333333"/>
                <w:kern w:val="0"/>
                <w:szCs w:val="21"/>
              </w:rPr>
            </w:pPr>
            <w:r>
              <w:rPr>
                <w:rFonts w:hint="eastAsia" w:ascii="Calibri" w:hAnsi="Calibri"/>
                <w:color w:val="333333"/>
                <w:sz w:val="20"/>
                <w:szCs w:val="20"/>
              </w:rPr>
              <w:t>结果纠正</w:t>
            </w:r>
          </w:p>
        </w:tc>
        <w:tc>
          <w:tcPr>
            <w:tcW w:w="605" w:type="dxa"/>
            <w:tcBorders>
              <w:top w:val="single" w:color="auto" w:sz="4" w:space="0"/>
              <w:left w:val="nil"/>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ascii="宋体" w:hAnsi="宋体" w:cs="宋体"/>
                <w:color w:val="333333"/>
                <w:kern w:val="0"/>
                <w:szCs w:val="21"/>
              </w:rPr>
            </w:pPr>
            <w:r>
              <w:rPr>
                <w:rFonts w:hint="eastAsia" w:ascii="Calibri" w:hAnsi="Calibri"/>
                <w:color w:val="333333"/>
                <w:sz w:val="20"/>
                <w:szCs w:val="20"/>
              </w:rPr>
              <w:t>其他结果</w:t>
            </w:r>
          </w:p>
        </w:tc>
        <w:tc>
          <w:tcPr>
            <w:tcW w:w="605" w:type="dxa"/>
            <w:tcBorders>
              <w:top w:val="single" w:color="auto" w:sz="4" w:space="0"/>
              <w:left w:val="nil"/>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ascii="宋体" w:hAnsi="宋体" w:cs="宋体"/>
                <w:color w:val="333333"/>
                <w:kern w:val="0"/>
                <w:szCs w:val="21"/>
              </w:rPr>
            </w:pPr>
            <w:r>
              <w:rPr>
                <w:rFonts w:hint="eastAsia" w:ascii="Calibri" w:hAnsi="Calibri"/>
                <w:color w:val="333333"/>
                <w:sz w:val="20"/>
                <w:szCs w:val="20"/>
              </w:rPr>
              <w:t>尚未审结</w:t>
            </w:r>
          </w:p>
        </w:tc>
        <w:tc>
          <w:tcPr>
            <w:tcW w:w="605" w:type="dxa"/>
            <w:tcBorders>
              <w:top w:val="single" w:color="auto" w:sz="4" w:space="0"/>
              <w:left w:val="nil"/>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ascii="宋体" w:hAnsi="宋体" w:cs="宋体"/>
                <w:color w:val="333333"/>
                <w:kern w:val="0"/>
                <w:szCs w:val="21"/>
              </w:rPr>
            </w:pPr>
            <w:r>
              <w:rPr>
                <w:rFonts w:hint="eastAsia" w:ascii="宋体" w:hAnsi="宋体" w:cs="宋体"/>
                <w:color w:val="000000"/>
                <w:kern w:val="0"/>
                <w:sz w:val="20"/>
                <w:szCs w:val="20"/>
              </w:rPr>
              <w:t>总计</w:t>
            </w:r>
          </w:p>
        </w:tc>
        <w:tc>
          <w:tcPr>
            <w:tcW w:w="605" w:type="dxa"/>
            <w:tcBorders>
              <w:top w:val="single" w:color="auto" w:sz="4" w:space="0"/>
              <w:left w:val="nil"/>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ascii="宋体" w:hAnsi="宋体" w:cs="宋体"/>
                <w:color w:val="333333"/>
                <w:kern w:val="0"/>
                <w:szCs w:val="21"/>
              </w:rPr>
            </w:pPr>
            <w:r>
              <w:rPr>
                <w:rFonts w:hint="eastAsia" w:ascii="Calibri" w:hAnsi="Calibri"/>
                <w:color w:val="333333"/>
                <w:sz w:val="20"/>
                <w:szCs w:val="20"/>
              </w:rPr>
              <w:t>结果维持</w:t>
            </w:r>
          </w:p>
        </w:tc>
        <w:tc>
          <w:tcPr>
            <w:tcW w:w="605" w:type="dxa"/>
            <w:tcBorders>
              <w:top w:val="single" w:color="auto" w:sz="4" w:space="0"/>
              <w:left w:val="nil"/>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ascii="宋体" w:hAnsi="宋体" w:cs="宋体"/>
                <w:color w:val="333333"/>
                <w:kern w:val="0"/>
                <w:szCs w:val="21"/>
              </w:rPr>
            </w:pPr>
            <w:r>
              <w:rPr>
                <w:rFonts w:hint="eastAsia" w:ascii="Calibri" w:hAnsi="Calibri"/>
                <w:color w:val="333333"/>
                <w:sz w:val="20"/>
                <w:szCs w:val="20"/>
              </w:rPr>
              <w:t>结果纠正</w:t>
            </w:r>
          </w:p>
        </w:tc>
        <w:tc>
          <w:tcPr>
            <w:tcW w:w="605" w:type="dxa"/>
            <w:tcBorders>
              <w:top w:val="single" w:color="auto" w:sz="4" w:space="0"/>
              <w:left w:val="nil"/>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ascii="宋体" w:hAnsi="宋体" w:cs="宋体"/>
                <w:color w:val="333333"/>
                <w:kern w:val="0"/>
                <w:szCs w:val="21"/>
              </w:rPr>
            </w:pPr>
            <w:r>
              <w:rPr>
                <w:rFonts w:hint="eastAsia" w:ascii="宋体" w:hAnsi="宋体" w:cs="宋体"/>
                <w:color w:val="000000"/>
                <w:kern w:val="0"/>
                <w:sz w:val="20"/>
                <w:szCs w:val="20"/>
              </w:rPr>
              <w:t>其他结果</w:t>
            </w:r>
          </w:p>
        </w:tc>
        <w:tc>
          <w:tcPr>
            <w:tcW w:w="606" w:type="dxa"/>
            <w:tcBorders>
              <w:top w:val="single" w:color="auto" w:sz="4" w:space="0"/>
              <w:left w:val="nil"/>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ascii="宋体" w:hAnsi="宋体" w:cs="宋体"/>
                <w:color w:val="333333"/>
                <w:kern w:val="0"/>
                <w:szCs w:val="21"/>
              </w:rPr>
            </w:pPr>
            <w:r>
              <w:rPr>
                <w:rFonts w:hint="eastAsia" w:ascii="Calibri" w:hAnsi="Calibri"/>
                <w:color w:val="333333"/>
                <w:sz w:val="20"/>
                <w:szCs w:val="20"/>
              </w:rPr>
              <w:t>尚未审结</w:t>
            </w:r>
          </w:p>
        </w:tc>
        <w:tc>
          <w:tcPr>
            <w:tcW w:w="606" w:type="dxa"/>
            <w:tcBorders>
              <w:top w:val="single" w:color="auto" w:sz="4" w:space="0"/>
              <w:left w:val="nil"/>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ascii="宋体" w:hAnsi="宋体" w:cs="宋体"/>
                <w:color w:val="333333"/>
                <w:kern w:val="0"/>
                <w:szCs w:val="21"/>
              </w:rPr>
            </w:pPr>
            <w:r>
              <w:rPr>
                <w:rFonts w:hint="eastAsia" w:ascii="宋体" w:hAnsi="宋体" w:cs="宋体"/>
                <w:color w:val="000000"/>
                <w:kern w:val="0"/>
                <w:sz w:val="20"/>
                <w:szCs w:val="20"/>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604"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333333"/>
                <w:kern w:val="0"/>
                <w:szCs w:val="21"/>
                <w:lang w:val="en-US" w:eastAsia="zh-CN"/>
              </w:rPr>
            </w:pPr>
            <w:r>
              <w:rPr>
                <w:rFonts w:hint="eastAsia" w:ascii="宋体" w:hAnsi="宋体" w:cs="宋体"/>
                <w:color w:val="333333"/>
                <w:kern w:val="0"/>
                <w:szCs w:val="21"/>
                <w:lang w:val="en-US" w:eastAsia="zh-CN"/>
              </w:rPr>
              <w:t>0</w:t>
            </w:r>
          </w:p>
        </w:tc>
        <w:tc>
          <w:tcPr>
            <w:tcW w:w="604" w:type="dxa"/>
            <w:tcBorders>
              <w:top w:val="single" w:color="auto" w:sz="4" w:space="0"/>
              <w:left w:val="nil"/>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both"/>
              <w:textAlignment w:val="auto"/>
              <w:outlineLvl w:val="9"/>
              <w:rPr>
                <w:rFonts w:hint="eastAsia" w:ascii="宋体" w:hAnsi="宋体" w:eastAsia="宋体" w:cs="宋体"/>
                <w:color w:val="333333"/>
                <w:kern w:val="0"/>
                <w:szCs w:val="21"/>
                <w:lang w:val="en-US" w:eastAsia="zh-CN"/>
              </w:rPr>
            </w:pPr>
            <w:r>
              <w:rPr>
                <w:rFonts w:hint="eastAsia" w:ascii="宋体" w:hAnsi="宋体" w:cs="宋体"/>
                <w:color w:val="333333"/>
                <w:kern w:val="0"/>
                <w:szCs w:val="21"/>
                <w:lang w:val="en-US" w:eastAsia="zh-CN"/>
              </w:rPr>
              <w:t>0</w:t>
            </w:r>
          </w:p>
        </w:tc>
        <w:tc>
          <w:tcPr>
            <w:tcW w:w="604" w:type="dxa"/>
            <w:tcBorders>
              <w:top w:val="single" w:color="auto" w:sz="4" w:space="0"/>
              <w:left w:val="nil"/>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333333"/>
                <w:kern w:val="0"/>
                <w:szCs w:val="21"/>
                <w:lang w:val="en-US" w:eastAsia="zh-CN"/>
              </w:rPr>
            </w:pPr>
            <w:r>
              <w:rPr>
                <w:rFonts w:hint="eastAsia" w:ascii="宋体" w:hAnsi="宋体" w:cs="宋体"/>
                <w:color w:val="333333"/>
                <w:kern w:val="0"/>
                <w:szCs w:val="21"/>
                <w:lang w:val="en-US" w:eastAsia="zh-CN"/>
              </w:rPr>
              <w:t>0</w:t>
            </w:r>
          </w:p>
        </w:tc>
        <w:tc>
          <w:tcPr>
            <w:tcW w:w="604" w:type="dxa"/>
            <w:tcBorders>
              <w:top w:val="single" w:color="auto" w:sz="4" w:space="0"/>
              <w:left w:val="nil"/>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default" w:ascii="宋体" w:hAnsi="宋体" w:eastAsia="宋体" w:cs="宋体"/>
                <w:color w:val="333333"/>
                <w:kern w:val="0"/>
                <w:szCs w:val="21"/>
                <w:lang w:val="en-US" w:eastAsia="zh-CN"/>
              </w:rPr>
            </w:pPr>
            <w:r>
              <w:rPr>
                <w:rFonts w:hint="eastAsia" w:ascii="宋体" w:hAnsi="宋体" w:cs="宋体"/>
                <w:color w:val="333333"/>
                <w:kern w:val="0"/>
                <w:szCs w:val="21"/>
                <w:lang w:val="en-US" w:eastAsia="zh-CN"/>
              </w:rPr>
              <w:t>0</w:t>
            </w:r>
          </w:p>
        </w:tc>
        <w:tc>
          <w:tcPr>
            <w:tcW w:w="658" w:type="dxa"/>
            <w:tcBorders>
              <w:top w:val="single" w:color="auto" w:sz="4" w:space="0"/>
              <w:left w:val="nil"/>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default" w:ascii="宋体" w:hAnsi="宋体" w:eastAsia="宋体" w:cs="宋体"/>
                <w:color w:val="333333"/>
                <w:kern w:val="0"/>
                <w:szCs w:val="21"/>
                <w:lang w:val="en-US" w:eastAsia="zh-CN"/>
              </w:rPr>
            </w:pPr>
            <w:r>
              <w:rPr>
                <w:rFonts w:hint="eastAsia" w:ascii="宋体" w:hAnsi="宋体" w:cs="宋体"/>
                <w:color w:val="333333"/>
                <w:kern w:val="0"/>
                <w:szCs w:val="21"/>
                <w:lang w:val="en-US" w:eastAsia="zh-CN"/>
              </w:rPr>
              <w:t>0</w:t>
            </w:r>
          </w:p>
        </w:tc>
        <w:tc>
          <w:tcPr>
            <w:tcW w:w="550" w:type="dxa"/>
            <w:tcBorders>
              <w:top w:val="single" w:color="auto" w:sz="4" w:space="0"/>
              <w:left w:val="nil"/>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333333"/>
                <w:kern w:val="0"/>
                <w:szCs w:val="21"/>
                <w:lang w:val="en-US" w:eastAsia="zh-CN"/>
              </w:rPr>
            </w:pPr>
            <w:r>
              <w:rPr>
                <w:rFonts w:hint="eastAsia" w:ascii="宋体" w:hAnsi="宋体" w:cs="宋体"/>
                <w:color w:val="333333"/>
                <w:kern w:val="0"/>
                <w:szCs w:val="21"/>
                <w:lang w:val="en-US" w:eastAsia="zh-CN"/>
              </w:rPr>
              <w:t>0</w:t>
            </w:r>
          </w:p>
        </w:tc>
        <w:tc>
          <w:tcPr>
            <w:tcW w:w="605" w:type="dxa"/>
            <w:tcBorders>
              <w:top w:val="single" w:color="auto" w:sz="4" w:space="0"/>
              <w:left w:val="nil"/>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333333"/>
                <w:kern w:val="0"/>
                <w:szCs w:val="21"/>
                <w:lang w:val="en-US" w:eastAsia="zh-CN"/>
              </w:rPr>
            </w:pPr>
            <w:r>
              <w:rPr>
                <w:rFonts w:hint="eastAsia" w:ascii="宋体" w:hAnsi="宋体" w:cs="宋体"/>
                <w:color w:val="333333"/>
                <w:kern w:val="0"/>
                <w:szCs w:val="21"/>
                <w:lang w:val="en-US" w:eastAsia="zh-CN"/>
              </w:rPr>
              <w:t>0</w:t>
            </w:r>
          </w:p>
        </w:tc>
        <w:tc>
          <w:tcPr>
            <w:tcW w:w="605" w:type="dxa"/>
            <w:tcBorders>
              <w:top w:val="single" w:color="auto" w:sz="4" w:space="0"/>
              <w:left w:val="nil"/>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333333"/>
                <w:kern w:val="0"/>
                <w:szCs w:val="21"/>
                <w:lang w:val="en-US" w:eastAsia="zh-CN"/>
              </w:rPr>
            </w:pPr>
            <w:r>
              <w:rPr>
                <w:rFonts w:hint="eastAsia" w:ascii="宋体" w:hAnsi="宋体" w:cs="宋体"/>
                <w:color w:val="333333"/>
                <w:kern w:val="0"/>
                <w:szCs w:val="21"/>
                <w:lang w:val="en-US" w:eastAsia="zh-CN"/>
              </w:rPr>
              <w:t>0</w:t>
            </w:r>
          </w:p>
        </w:tc>
        <w:tc>
          <w:tcPr>
            <w:tcW w:w="605" w:type="dxa"/>
            <w:tcBorders>
              <w:top w:val="single" w:color="auto" w:sz="4" w:space="0"/>
              <w:left w:val="nil"/>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both"/>
              <w:textAlignment w:val="auto"/>
              <w:outlineLvl w:val="9"/>
              <w:rPr>
                <w:rFonts w:hint="eastAsia" w:ascii="宋体" w:hAnsi="宋体" w:eastAsia="宋体" w:cs="宋体"/>
                <w:color w:val="333333"/>
                <w:kern w:val="0"/>
                <w:szCs w:val="21"/>
                <w:lang w:val="en-US" w:eastAsia="zh-CN"/>
              </w:rPr>
            </w:pPr>
            <w:r>
              <w:rPr>
                <w:rFonts w:hint="eastAsia" w:ascii="宋体" w:hAnsi="宋体" w:cs="宋体"/>
                <w:color w:val="333333"/>
                <w:kern w:val="0"/>
                <w:szCs w:val="21"/>
                <w:lang w:val="en-US" w:eastAsia="zh-CN"/>
              </w:rPr>
              <w:t>0</w:t>
            </w:r>
          </w:p>
        </w:tc>
        <w:tc>
          <w:tcPr>
            <w:tcW w:w="605" w:type="dxa"/>
            <w:tcBorders>
              <w:top w:val="single" w:color="auto" w:sz="4" w:space="0"/>
              <w:left w:val="nil"/>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333333"/>
                <w:kern w:val="0"/>
                <w:szCs w:val="21"/>
                <w:lang w:val="en-US" w:eastAsia="zh-CN"/>
              </w:rPr>
            </w:pPr>
            <w:r>
              <w:rPr>
                <w:rFonts w:hint="eastAsia" w:ascii="宋体" w:hAnsi="宋体" w:cs="宋体"/>
                <w:color w:val="333333"/>
                <w:kern w:val="0"/>
                <w:szCs w:val="21"/>
                <w:lang w:val="en-US" w:eastAsia="zh-CN"/>
              </w:rPr>
              <w:t>0</w:t>
            </w:r>
          </w:p>
        </w:tc>
        <w:tc>
          <w:tcPr>
            <w:tcW w:w="605" w:type="dxa"/>
            <w:tcBorders>
              <w:top w:val="single" w:color="auto" w:sz="4" w:space="0"/>
              <w:left w:val="nil"/>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333333"/>
                <w:kern w:val="0"/>
                <w:szCs w:val="21"/>
                <w:lang w:val="en-US" w:eastAsia="zh-CN"/>
              </w:rPr>
            </w:pPr>
            <w:r>
              <w:rPr>
                <w:rFonts w:hint="eastAsia" w:ascii="宋体" w:hAnsi="宋体" w:cs="宋体"/>
                <w:color w:val="333333"/>
                <w:kern w:val="0"/>
                <w:szCs w:val="21"/>
                <w:lang w:val="en-US" w:eastAsia="zh-CN"/>
              </w:rPr>
              <w:t>0</w:t>
            </w:r>
          </w:p>
        </w:tc>
        <w:tc>
          <w:tcPr>
            <w:tcW w:w="605" w:type="dxa"/>
            <w:tcBorders>
              <w:top w:val="single" w:color="auto" w:sz="4" w:space="0"/>
              <w:left w:val="nil"/>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333333"/>
                <w:kern w:val="0"/>
                <w:szCs w:val="21"/>
                <w:lang w:val="en-US" w:eastAsia="zh-CN"/>
              </w:rPr>
            </w:pPr>
            <w:r>
              <w:rPr>
                <w:rFonts w:hint="eastAsia" w:ascii="宋体" w:hAnsi="宋体" w:cs="宋体"/>
                <w:color w:val="333333"/>
                <w:kern w:val="0"/>
                <w:szCs w:val="21"/>
                <w:lang w:val="en-US" w:eastAsia="zh-CN"/>
              </w:rPr>
              <w:t>0</w:t>
            </w:r>
          </w:p>
        </w:tc>
        <w:tc>
          <w:tcPr>
            <w:tcW w:w="605" w:type="dxa"/>
            <w:tcBorders>
              <w:top w:val="single" w:color="auto" w:sz="4" w:space="0"/>
              <w:left w:val="nil"/>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333333"/>
                <w:kern w:val="0"/>
                <w:szCs w:val="21"/>
                <w:lang w:val="en-US" w:eastAsia="zh-CN"/>
              </w:rPr>
            </w:pPr>
            <w:r>
              <w:rPr>
                <w:rFonts w:hint="eastAsia" w:ascii="宋体" w:hAnsi="宋体" w:cs="宋体"/>
                <w:color w:val="333333"/>
                <w:kern w:val="0"/>
                <w:szCs w:val="21"/>
                <w:lang w:val="en-US" w:eastAsia="zh-CN"/>
              </w:rPr>
              <w:t>0</w:t>
            </w:r>
          </w:p>
        </w:tc>
        <w:tc>
          <w:tcPr>
            <w:tcW w:w="606" w:type="dxa"/>
            <w:tcBorders>
              <w:top w:val="single" w:color="auto" w:sz="4" w:space="0"/>
              <w:left w:val="nil"/>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333333"/>
                <w:kern w:val="0"/>
                <w:szCs w:val="21"/>
                <w:lang w:val="en-US" w:eastAsia="zh-CN"/>
              </w:rPr>
            </w:pPr>
            <w:r>
              <w:rPr>
                <w:rFonts w:hint="eastAsia" w:ascii="宋体" w:hAnsi="宋体" w:cs="宋体"/>
                <w:color w:val="333333"/>
                <w:kern w:val="0"/>
                <w:szCs w:val="21"/>
                <w:lang w:val="en-US" w:eastAsia="zh-CN"/>
              </w:rPr>
              <w:t>0</w:t>
            </w:r>
          </w:p>
        </w:tc>
        <w:tc>
          <w:tcPr>
            <w:tcW w:w="606" w:type="dxa"/>
            <w:tcBorders>
              <w:top w:val="single" w:color="auto" w:sz="4" w:space="0"/>
              <w:left w:val="nil"/>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default" w:ascii="宋体" w:hAnsi="宋体" w:eastAsia="宋体" w:cs="宋体"/>
                <w:color w:val="333333"/>
                <w:kern w:val="0"/>
                <w:szCs w:val="21"/>
                <w:lang w:val="en-US" w:eastAsia="zh-CN"/>
              </w:rPr>
            </w:pPr>
            <w:r>
              <w:rPr>
                <w:rFonts w:hint="eastAsia" w:ascii="宋体" w:hAnsi="宋体" w:cs="宋体"/>
                <w:color w:val="333333"/>
                <w:kern w:val="0"/>
                <w:szCs w:val="21"/>
                <w:lang w:val="en-US" w:eastAsia="zh-CN"/>
              </w:rPr>
              <w:t>0</w:t>
            </w:r>
          </w:p>
        </w:tc>
      </w:tr>
    </w:tbl>
    <w:p>
      <w:pPr>
        <w:widowControl/>
        <w:numPr>
          <w:ilvl w:val="0"/>
          <w:numId w:val="0"/>
        </w:numPr>
        <w:spacing w:line="576" w:lineRule="exact"/>
        <w:rPr>
          <w:rFonts w:hint="eastAsia" w:ascii="黑体" w:hAnsi="黑体" w:eastAsia="黑体" w:cs="黑体"/>
          <w:b w:val="0"/>
          <w:bCs w:val="0"/>
          <w:color w:val="333333"/>
          <w:kern w:val="0"/>
          <w:sz w:val="32"/>
          <w:szCs w:val="32"/>
          <w:lang w:val="en-US" w:eastAsia="zh-CN"/>
        </w:rPr>
      </w:pPr>
      <w:r>
        <w:rPr>
          <w:rFonts w:hint="eastAsia" w:ascii="黑体" w:hAnsi="黑体" w:eastAsia="黑体" w:cs="黑体"/>
          <w:b w:val="0"/>
          <w:bCs w:val="0"/>
          <w:color w:val="333333"/>
          <w:kern w:val="0"/>
          <w:sz w:val="32"/>
          <w:szCs w:val="32"/>
          <w:lang w:val="en-US" w:eastAsia="zh-CN"/>
        </w:rPr>
        <w:t xml:space="preserve">    五、</w:t>
      </w:r>
      <w:r>
        <w:rPr>
          <w:rFonts w:hint="eastAsia" w:ascii="黑体" w:hAnsi="黑体" w:eastAsia="黑体" w:cs="黑体"/>
          <w:b w:val="0"/>
          <w:bCs w:val="0"/>
          <w:color w:val="333333"/>
          <w:kern w:val="0"/>
          <w:sz w:val="32"/>
          <w:szCs w:val="32"/>
        </w:rPr>
        <w:t>存在的主要问题及改进情况</w:t>
      </w:r>
    </w:p>
    <w:p>
      <w:pPr>
        <w:widowControl/>
        <w:numPr>
          <w:ilvl w:val="0"/>
          <w:numId w:val="0"/>
        </w:numPr>
        <w:wordWrap/>
        <w:adjustRightInd/>
        <w:snapToGrid/>
        <w:spacing w:before="0" w:after="0" w:line="578" w:lineRule="exact"/>
        <w:ind w:right="0" w:rightChars="0" w:firstLine="640" w:firstLineChars="200"/>
        <w:jc w:val="both"/>
        <w:textAlignment w:val="auto"/>
        <w:outlineLvl w:val="9"/>
        <w:rPr>
          <w:rFonts w:hint="default" w:ascii="黑体" w:hAnsi="黑体" w:eastAsia="黑体" w:cs="黑体"/>
          <w:b w:val="0"/>
          <w:bCs w:val="0"/>
          <w:color w:val="333333"/>
          <w:kern w:val="0"/>
          <w:sz w:val="32"/>
          <w:szCs w:val="32"/>
          <w:lang w:val="en-US" w:eastAsia="zh-CN"/>
        </w:rPr>
      </w:pPr>
      <w:r>
        <w:rPr>
          <w:rFonts w:hint="eastAsia" w:ascii="仿宋_GB2312" w:hAnsi="仿宋_GB2312" w:eastAsia="仿宋_GB2312" w:cs="仿宋_GB2312"/>
          <w:sz w:val="32"/>
          <w:szCs w:val="32"/>
          <w:lang w:val="en-US" w:eastAsia="zh-CN"/>
        </w:rPr>
        <w:t>在市委、市政府的正确领导和市政务公开办业务指导下，我局政府信息公开工作取得了一定成绩，但是还存在一些问题：一是个别栏目信息公开不及时、不完整、不规范；二是政策解读形式较为单一，图片解读质量仍需提升；三是信息公开方式有待进一步拓展。改进情况：一是强化业务学习。进一步组织学习《中华人民共和国政府信息公开条例》等各项公开制度和上级政务公开相关会议文件精神，加强对政务公开工作重要性的认识，加强政策解读及回应关切力度，扎实推进依申请公开办理，及时对公开栏目进行梳理，厘清栏目信息之间的逻辑关系，确保信息完整、规范、及时更新。二是强化监督保障。进一步健全和完善政务公开制度，压紧压实各级责任，规范公开内容，加大信息发布审核力度，完善更加规范、更加透明、更加便民的高质量政务公开机制。三是强化解读力度。重点围绕科技创新政策，着重在解读内容上下功夫，把好质量审核关，进一步增强解读实效，及时高效回应关切，重点收集多渠道反馈的热点问题，积极回应、督促解决、及时回复。</w:t>
      </w:r>
    </w:p>
    <w:p>
      <w:pPr>
        <w:widowControl/>
        <w:numPr>
          <w:ilvl w:val="0"/>
          <w:numId w:val="0"/>
        </w:numPr>
        <w:wordWrap/>
        <w:adjustRightInd/>
        <w:snapToGrid/>
        <w:spacing w:before="0" w:after="0" w:line="578" w:lineRule="exact"/>
        <w:ind w:left="640" w:leftChars="0" w:right="0" w:rightChars="0"/>
        <w:jc w:val="both"/>
        <w:textAlignment w:val="auto"/>
        <w:outlineLvl w:val="9"/>
        <w:rPr>
          <w:rFonts w:hint="default" w:ascii="黑体" w:hAnsi="黑体" w:eastAsia="黑体" w:cs="黑体"/>
          <w:b w:val="0"/>
          <w:bCs w:val="0"/>
          <w:color w:val="333333"/>
          <w:kern w:val="0"/>
          <w:sz w:val="32"/>
          <w:szCs w:val="32"/>
          <w:lang w:val="en-US" w:eastAsia="zh-CN"/>
        </w:rPr>
      </w:pPr>
      <w:r>
        <w:rPr>
          <w:rFonts w:hint="eastAsia" w:ascii="黑体" w:hAnsi="黑体" w:eastAsia="黑体" w:cs="黑体"/>
          <w:b w:val="0"/>
          <w:bCs w:val="0"/>
          <w:color w:val="333333"/>
          <w:kern w:val="0"/>
          <w:sz w:val="32"/>
          <w:szCs w:val="32"/>
          <w:lang w:eastAsia="zh-CN"/>
        </w:rPr>
        <w:t>六、</w:t>
      </w:r>
      <w:r>
        <w:rPr>
          <w:rFonts w:hint="eastAsia" w:ascii="黑体" w:hAnsi="黑体" w:eastAsia="黑体" w:cs="黑体"/>
          <w:b w:val="0"/>
          <w:bCs w:val="0"/>
          <w:color w:val="333333"/>
          <w:kern w:val="0"/>
          <w:sz w:val="32"/>
          <w:szCs w:val="32"/>
        </w:rPr>
        <w:t>其他需要报告的事项</w:t>
      </w:r>
      <w:r>
        <w:rPr>
          <w:rFonts w:hint="eastAsia" w:ascii="黑体" w:hAnsi="黑体" w:eastAsia="黑体" w:cs="黑体"/>
          <w:b w:val="0"/>
          <w:bCs w:val="0"/>
          <w:color w:val="333333"/>
          <w:kern w:val="0"/>
          <w:sz w:val="32"/>
          <w:szCs w:val="32"/>
          <w:lang w:val="en-US" w:eastAsia="zh-CN"/>
        </w:rPr>
        <w:t xml:space="preserve">   </w:t>
      </w:r>
    </w:p>
    <w:p>
      <w:pPr>
        <w:widowControl w:val="0"/>
        <w:numPr>
          <w:ilvl w:val="0"/>
          <w:numId w:val="0"/>
        </w:numPr>
        <w:wordWrap/>
        <w:adjustRightInd/>
        <w:snapToGrid/>
        <w:spacing w:before="0" w:after="0" w:line="576" w:lineRule="exact"/>
        <w:ind w:right="0" w:firstLine="1280" w:firstLineChars="4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无</w:t>
      </w:r>
    </w:p>
    <w:sectPr>
      <w:headerReference r:id="rId3" w:type="default"/>
      <w:footerReference r:id="rId4" w:type="default"/>
      <w:pgMar w:top="2154" w:right="1474" w:bottom="1134" w:left="1531" w:header="720" w:footer="720" w:gutter="0"/>
      <w:pgBorders>
        <w:top w:val="none" w:sz="0" w:space="0"/>
        <w:left w:val="none" w:sz="0" w:space="0"/>
        <w:bottom w:val="none" w:sz="0" w:space="0"/>
        <w:right w:val="none" w:sz="0" w:space="0"/>
      </w:pgBorders>
      <w:pgNumType w:fmt="numberInDash"/>
      <w:cols w:space="720" w:num="1"/>
      <w:docGrid w:linePitch="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t>- 1 -</w:t>
                          </w:r>
                          <w:r>
                            <w:rPr>
                              <w:rFonts w:hint="eastAsia" w:ascii="宋体" w:hAnsi="宋体" w:eastAsia="宋体" w:cs="宋体"/>
                              <w:sz w:val="28"/>
                              <w:szCs w:val="28"/>
                              <w:lang w:eastAsia="zh-CN"/>
                            </w:rPr>
                            <w:fldChar w:fldCharType="end"/>
                          </w:r>
                        </w:p>
                      </w:txbxContent>
                    </wps:txbx>
                    <wps:bodyPr wrap="none" lIns="0" tIns="0" rIns="0" bIns="0" upright="0">
                      <a:spAutoFit/>
                    </wps:bodyPr>
                  </wps:wsp>
                </a:graphicData>
              </a:graphic>
            </wp:anchor>
          </w:drawing>
        </mc:Choice>
        <mc:Fallback>
          <w:pict>
            <v:shape id="文本框1"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oB3MscBAACY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zKr&#10;0weoMek+YFoa3vkhZ05+QGcmPaho8xfpEIyjtuertnJIRORH69V6XWFIYGy+IA57eB4ipPfSW5KN&#10;hkYcXtGUnz5CGlPnlFzN+TttDPp5bdw/DsTMHpZ7H3vMVhr2w9T43rdn5NPj3BvqcM0pMR8cyppX&#10;ZDbibOxn4xiiPnRlh3I9CLfHhE2U3nKFEXYqjAMr7Kblyhvx+F6yHn6o7V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PoB3MscBAACYAwAADgAAAAAAAAABACAAAAAeAQAAZHJzL2Uyb0RvYy54&#10;bWxQSwUGAAAAAAYABgBZAQAAVwU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t>- 1 -</w:t>
                    </w:r>
                    <w:r>
                      <w:rPr>
                        <w:rFonts w:hint="eastAsia" w:ascii="宋体" w:hAnsi="宋体" w:eastAsia="宋体" w:cs="宋体"/>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FF5831"/>
    <w:multiLevelType w:val="singleLevel"/>
    <w:tmpl w:val="3EFF5831"/>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documentProtection w:enforcement="0"/>
  <w:defaultTabStop w:val="50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2478FB"/>
    <w:rsid w:val="27F1E0D9"/>
    <w:rsid w:val="2CB0F1D9"/>
    <w:rsid w:val="347F0FC5"/>
    <w:rsid w:val="3DF979C2"/>
    <w:rsid w:val="3EFF99C0"/>
    <w:rsid w:val="3F97B3B4"/>
    <w:rsid w:val="4FFF7041"/>
    <w:rsid w:val="51BDF175"/>
    <w:rsid w:val="53EE1691"/>
    <w:rsid w:val="53EFC7C2"/>
    <w:rsid w:val="59FAAC8C"/>
    <w:rsid w:val="5B7DCC73"/>
    <w:rsid w:val="5DCA6523"/>
    <w:rsid w:val="5F6DA98C"/>
    <w:rsid w:val="63FF8B98"/>
    <w:rsid w:val="69FFD032"/>
    <w:rsid w:val="6ABF9B6D"/>
    <w:rsid w:val="6DE4B483"/>
    <w:rsid w:val="6DEB92A9"/>
    <w:rsid w:val="6DEF9B5C"/>
    <w:rsid w:val="6EFFE691"/>
    <w:rsid w:val="6FFF0208"/>
    <w:rsid w:val="742EEAAC"/>
    <w:rsid w:val="76F91CA9"/>
    <w:rsid w:val="7CFB2FAD"/>
    <w:rsid w:val="7EBE4F5F"/>
    <w:rsid w:val="7EDBF2FF"/>
    <w:rsid w:val="7EDFF04E"/>
    <w:rsid w:val="7EEE3DFA"/>
    <w:rsid w:val="7EFF47C8"/>
    <w:rsid w:val="7FAF18D6"/>
    <w:rsid w:val="7FBF424E"/>
    <w:rsid w:val="7FEF7507"/>
    <w:rsid w:val="A7FFAA4F"/>
    <w:rsid w:val="AB7FD371"/>
    <w:rsid w:val="ACDF2F41"/>
    <w:rsid w:val="AE953384"/>
    <w:rsid w:val="AFEFD3EB"/>
    <w:rsid w:val="AFFEB3EC"/>
    <w:rsid w:val="B43F1916"/>
    <w:rsid w:val="B7C64006"/>
    <w:rsid w:val="BA7B23C6"/>
    <w:rsid w:val="BB2F835E"/>
    <w:rsid w:val="BCBB8CE7"/>
    <w:rsid w:val="BF79E97C"/>
    <w:rsid w:val="BF9F1DCB"/>
    <w:rsid w:val="BFC220F6"/>
    <w:rsid w:val="BFFD6E79"/>
    <w:rsid w:val="D1EF9AD5"/>
    <w:rsid w:val="DADFF008"/>
    <w:rsid w:val="DAFA19D2"/>
    <w:rsid w:val="DDD4AF95"/>
    <w:rsid w:val="DFFEFEB7"/>
    <w:rsid w:val="E73F36FA"/>
    <w:rsid w:val="E9DEB8E1"/>
    <w:rsid w:val="FBDF8525"/>
    <w:rsid w:val="FBFF1B7F"/>
    <w:rsid w:val="FCEB105C"/>
    <w:rsid w:val="FD677FC2"/>
    <w:rsid w:val="FF2B4272"/>
    <w:rsid w:val="FF7F21AC"/>
    <w:rsid w:val="FFD5118C"/>
    <w:rsid w:val="FFF2872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name="header"/>
    <w:lsdException w:qFormat="1" w:uiPriority="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unhideWhenUsed/>
    <w:qFormat/>
    <w:uiPriority w:val="0"/>
    <w:rPr>
      <w:rFonts w:ascii="Times New Roman" w:hAnsi="Times New Roman" w:cs="Times New Roman"/>
      <w:szCs w:val="20"/>
    </w:rPr>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semiHidden/>
    <w:unhideWhenUsed/>
    <w:qFormat/>
    <w:uiPriority w:val="0"/>
    <w:pPr>
      <w:tabs>
        <w:tab w:val="center" w:pos="4153"/>
        <w:tab w:val="right" w:pos="8306"/>
      </w:tabs>
      <w:snapToGrid w:val="0"/>
      <w:jc w:val="left"/>
    </w:pPr>
    <w:rPr>
      <w:sz w:val="18"/>
      <w:szCs w:val="18"/>
    </w:rPr>
  </w:style>
  <w:style w:type="paragraph" w:styleId="3">
    <w:name w:val="header"/>
    <w:basedOn w:val="1"/>
    <w:semiHidden/>
    <w:unhideWhenUsed/>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character" w:styleId="6">
    <w:name w:val="page number"/>
    <w:basedOn w:val="5"/>
    <w:semiHidden/>
    <w:unhideWhenUsed/>
    <w:qFormat/>
    <w:uiPriority w:val="99"/>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0</Pages>
  <Words>0</Words>
  <Characters>0</Characters>
  <Lines>0</Lines>
  <Paragraphs>0</Paragraphs>
  <TotalTime>9</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2020-12-18T23:30:00Z</dcterms:created>
  <dc:creator>xxk</dc:creator>
  <cp:lastModifiedBy>天道酬勤</cp:lastModifiedBy>
  <cp:lastPrinted>2022-01-06T13:31:00Z</cp:lastPrinted>
  <dcterms:modified xsi:type="dcterms:W3CDTF">2022-01-29T08:13:42Z</dcterms:modified>
  <dc:title>XXX2020年政府信息公开工作年度报告</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C484D930C69343948EDB7069D9ED5869</vt:lpwstr>
  </property>
</Properties>
</file>